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TVA/Enron OPA Settlement Template</w:t>
      </w:r>
    </w:p>
    <w:p>
      <w:pPr>
        <w:pStyle w:val="Heading"/>
        <w:rPr/>
      </w:pPr>
      <w:r>
        <w:rPr/>
      </w:r>
    </w:p>
    <w:p>
      <w:pPr>
        <w:pStyle w:val="Heading"/>
        <w:pBdr>
          <w:bottom w:val="single" w:sz="12" w:space="1" w:color="000000"/>
        </w:pBdr>
        <w:rPr/>
      </w:pPr>
      <w:r>
        <w:rPr/>
      </w:r>
    </w:p>
    <w:p>
      <w:pPr>
        <w:pStyle w:val="Heading"/>
        <w:ind w:start="720" w:end="0"/>
        <w:jc w:val="start"/>
        <w:rPr>
          <w:b w:val="false"/>
          <w:sz w:val="24"/>
        </w:rPr>
      </w:pPr>
      <w:r>
        <w:rPr>
          <w:b w:val="false"/>
          <w:sz w:val="24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08"/>
        <w:gridCol w:w="2322"/>
      </w:tblGrid>
      <w:tr>
        <w:trPr/>
        <w:tc>
          <w:tcPr>
            <w:tcW w:w="6408" w:type="dxa"/>
            <w:tcBorders/>
          </w:tcPr>
          <w:p>
            <w:pPr>
              <w:pStyle w:val="Heading"/>
              <w:jc w:val="start"/>
              <w:rPr>
                <w:sz w:val="24"/>
              </w:rPr>
            </w:pPr>
            <w:r>
              <w:rPr>
                <w:sz w:val="24"/>
              </w:rPr>
              <w:t>Total settlement offer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Heading"/>
              <w:snapToGrid w:val="false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6408" w:type="dxa"/>
            <w:tcBorders/>
          </w:tcPr>
          <w:p>
            <w:pPr>
              <w:pStyle w:val="Heading"/>
              <w:snapToGrid w:val="false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2322" w:type="dxa"/>
            <w:tcBorders/>
          </w:tcPr>
          <w:p>
            <w:pPr>
              <w:pStyle w:val="Heading"/>
              <w:snapToGrid w:val="false"/>
              <w:jc w:val="end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  <w:tr>
        <w:trPr/>
        <w:tc>
          <w:tcPr>
            <w:tcW w:w="6408" w:type="dxa"/>
            <w:tcBorders/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The settlement offer consists of the following:</w:t>
            </w:r>
          </w:p>
        </w:tc>
        <w:tc>
          <w:tcPr>
            <w:tcW w:w="2322" w:type="dxa"/>
            <w:tcBorders/>
          </w:tcPr>
          <w:p>
            <w:pPr>
              <w:pStyle w:val="Heading"/>
              <w:snapToGrid w:val="false"/>
              <w:jc w:val="end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  <w:tr>
        <w:trPr/>
        <w:tc>
          <w:tcPr>
            <w:tcW w:w="6408" w:type="dxa"/>
            <w:tcBorders/>
          </w:tcPr>
          <w:p>
            <w:pPr>
              <w:pStyle w:val="Heading"/>
              <w:tabs>
                <w:tab w:val="clear" w:pos="720"/>
                <w:tab w:val="left" w:pos="612" w:leader="none"/>
              </w:tabs>
              <w:snapToGrid w:val="false"/>
              <w:jc w:val="star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  <w:tc>
          <w:tcPr>
            <w:tcW w:w="2322" w:type="dxa"/>
            <w:tcBorders/>
          </w:tcPr>
          <w:p>
            <w:pPr>
              <w:pStyle w:val="Heading"/>
              <w:snapToGrid w:val="false"/>
              <w:jc w:val="end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/>
        <w:tc>
          <w:tcPr>
            <w:tcW w:w="6408" w:type="dxa"/>
            <w:tcBorders/>
          </w:tcPr>
          <w:p>
            <w:pPr>
              <w:pStyle w:val="Heading"/>
              <w:tabs>
                <w:tab w:val="clear" w:pos="720"/>
                <w:tab w:val="left" w:pos="612" w:leader="none"/>
              </w:tabs>
              <w:jc w:val="start"/>
              <w:rPr/>
            </w:pPr>
            <w:r>
              <w:rPr>
                <w:sz w:val="24"/>
              </w:rPr>
              <w:t xml:space="preserve">1.  Historical damages </w:t>
            </w:r>
            <w:r>
              <w:rPr>
                <w:b w:val="false"/>
                <w:sz w:val="24"/>
              </w:rPr>
              <w:t>– the expense incurred by TVA to replace the OPA contract from January 15, 2000 to January 1, 2001.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  <w:tr>
        <w:trPr>
          <w:trHeight w:val="80" w:hRule="atLeast"/>
        </w:trPr>
        <w:tc>
          <w:tcPr>
            <w:tcW w:w="6408" w:type="dxa"/>
            <w:tcBorders/>
          </w:tcPr>
          <w:p>
            <w:pPr>
              <w:pStyle w:val="Heading"/>
              <w:snapToGrid w:val="false"/>
              <w:jc w:val="star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  <w:tc>
          <w:tcPr>
            <w:tcW w:w="2322" w:type="dxa"/>
            <w:tcBorders/>
          </w:tcPr>
          <w:p>
            <w:pPr>
              <w:pStyle w:val="Heading"/>
              <w:snapToGrid w:val="false"/>
              <w:jc w:val="end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/>
        <w:tc>
          <w:tcPr>
            <w:tcW w:w="6408" w:type="dxa"/>
            <w:tcBorders/>
          </w:tcPr>
          <w:p>
            <w:pPr>
              <w:pStyle w:val="Heading"/>
              <w:jc w:val="start"/>
              <w:rPr/>
            </w:pPr>
            <w:r>
              <w:rPr>
                <w:sz w:val="24"/>
              </w:rPr>
              <w:t>2.  Forward OPA value</w:t>
            </w:r>
            <w:r>
              <w:rPr>
                <w:b w:val="false"/>
                <w:sz w:val="24"/>
              </w:rPr>
              <w:t xml:space="preserve"> – the estimated market value of the OPA contract from January 1, 2001 until contract expiration.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  <w:tr>
        <w:trPr/>
        <w:tc>
          <w:tcPr>
            <w:tcW w:w="6408" w:type="dxa"/>
            <w:tcBorders/>
          </w:tcPr>
          <w:p>
            <w:pPr>
              <w:pStyle w:val="Heading"/>
              <w:snapToGrid w:val="false"/>
              <w:jc w:val="star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  <w:tc>
          <w:tcPr>
            <w:tcW w:w="2322" w:type="dxa"/>
            <w:tcBorders/>
          </w:tcPr>
          <w:p>
            <w:pPr>
              <w:pStyle w:val="Heading"/>
              <w:snapToGrid w:val="false"/>
              <w:jc w:val="end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/>
        <w:tc>
          <w:tcPr>
            <w:tcW w:w="6408" w:type="dxa"/>
            <w:tcBorders/>
          </w:tcPr>
          <w:p>
            <w:pPr>
              <w:pStyle w:val="Heading"/>
              <w:numPr>
                <w:ilvl w:val="0"/>
                <w:numId w:val="1"/>
              </w:numPr>
              <w:jc w:val="start"/>
              <w:rPr>
                <w:b w:val="false"/>
                <w:sz w:val="24"/>
              </w:rPr>
            </w:pPr>
            <w:r>
              <w:rPr>
                <w:sz w:val="24"/>
              </w:rPr>
              <w:t>Transmission/bright line value</w:t>
            </w:r>
            <w:r>
              <w:rPr>
                <w:b w:val="false"/>
                <w:sz w:val="24"/>
              </w:rPr>
              <w:t xml:space="preserve"> – cost to TVA for deliverability optionality into TVA under the OPA (ie)</w:t>
            </w:r>
          </w:p>
          <w:p>
            <w:pPr>
              <w:pStyle w:val="Heading"/>
              <w:ind w:start="360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TVA  having to keep fixed amounts of transmission</w:t>
            </w:r>
          </w:p>
          <w:p>
            <w:pPr>
              <w:pStyle w:val="Heading"/>
              <w:ind w:start="360" w:end="0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at each of TVA’s border interconnections open for</w:t>
            </w:r>
          </w:p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      </w:t>
            </w:r>
            <w:r>
              <w:rPr>
                <w:b w:val="false"/>
                <w:sz w:val="24"/>
              </w:rPr>
              <w:t>EPMI’s use under the OPA.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4"/>
                <w:u w:val="single"/>
              </w:rPr>
            </w:pPr>
            <w:r>
              <w:rPr>
                <w:b w:val="false"/>
                <w:sz w:val="24"/>
                <w:u w:val="single"/>
              </w:rPr>
            </w:r>
          </w:p>
        </w:tc>
      </w:tr>
      <w:tr>
        <w:trPr/>
        <w:tc>
          <w:tcPr>
            <w:tcW w:w="6408" w:type="dxa"/>
            <w:tcBorders/>
          </w:tcPr>
          <w:p>
            <w:pPr>
              <w:pStyle w:val="Heading"/>
              <w:snapToGrid w:val="false"/>
              <w:jc w:val="start"/>
              <w:rPr>
                <w:b w:val="false"/>
                <w:sz w:val="12"/>
                <w:u w:val="single"/>
              </w:rPr>
            </w:pPr>
            <w:r>
              <w:rPr>
                <w:b w:val="false"/>
                <w:sz w:val="12"/>
                <w:u w:val="single"/>
              </w:rPr>
            </w:r>
          </w:p>
        </w:tc>
        <w:tc>
          <w:tcPr>
            <w:tcW w:w="2322" w:type="dxa"/>
            <w:tcBorders/>
          </w:tcPr>
          <w:p>
            <w:pPr>
              <w:pStyle w:val="Heading"/>
              <w:snapToGrid w:val="false"/>
              <w:jc w:val="end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  <w:tr>
        <w:trPr/>
        <w:tc>
          <w:tcPr>
            <w:tcW w:w="6408" w:type="dxa"/>
            <w:tcBorders>
              <w:bottom w:val="single" w:sz="12" w:space="0" w:color="000000"/>
            </w:tcBorders>
          </w:tcPr>
          <w:p>
            <w:pPr>
              <w:pStyle w:val="Heading"/>
              <w:jc w:val="star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  <w:t>Note: (1)+(2)-(3)=Settlement Offer</w:t>
            </w:r>
          </w:p>
        </w:tc>
        <w:tc>
          <w:tcPr>
            <w:tcW w:w="2322" w:type="dxa"/>
            <w:tcBorders>
              <w:bottom w:val="single" w:sz="1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In order to substantiate its positions, each party should provide sufficient back-up and justification for each of these items.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2000-09-25T20:10:00Z</dcterms:created>
  <dc:creator>tbusby</dc:creator>
  <dc:description/>
  <dc:language>en-CA</dc:language>
  <cp:lastModifiedBy>ddelain</cp:lastModifiedBy>
  <dcterms:modified xsi:type="dcterms:W3CDTF">2000-09-25T20:10:00Z</dcterms:modified>
  <cp:revision>2</cp:revision>
  <dc:subject/>
  <dc:title>TVA/Enron OPA Settlement Template</dc:title>
</cp:coreProperties>
</file>