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end"/>
        <w:rPr>
          <w:rFonts w:ascii="Arial" w:hAnsi="Arial" w:cs="Arial"/>
          <w:lang w:val="en-CA" w:eastAsia="en-CA"/>
        </w:rPr>
      </w:pPr>
      <w:r>
        <w:rPr>
          <w:rFonts w:cs="Arial" w:ascii="Arial" w:hAnsi="Arial"/>
          <w:lang w:val="en-CA" w:eastAsia="en-CA"/>
        </w:rPr>
        <w:drawing>
          <wp:anchor behindDoc="0" distT="0" distB="0" distL="114935" distR="114935" simplePos="0" locked="0" layoutInCell="1" allowOverlap="1" relativeHeight="10">
            <wp:simplePos x="0" y="0"/>
            <wp:positionH relativeFrom="column">
              <wp:posOffset>2954655</wp:posOffset>
            </wp:positionH>
            <wp:positionV relativeFrom="paragraph">
              <wp:posOffset>-683260</wp:posOffset>
            </wp:positionV>
            <wp:extent cx="2972435" cy="1168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26" r="-12" b="-26"/>
                    <a:stretch>
                      <a:fillRect/>
                    </a:stretch>
                  </pic:blipFill>
                  <pic:spPr bwMode="auto">
                    <a:xfrm>
                      <a:off x="0" y="0"/>
                      <a:ext cx="2972435" cy="1168400"/>
                    </a:xfrm>
                    <a:prstGeom prst="rect">
                      <a:avLst/>
                    </a:prstGeom>
                    <a:noFill/>
                  </pic:spPr>
                </pic:pic>
              </a:graphicData>
            </a:graphic>
          </wp:anchor>
        </w:drawing>
      </w:r>
    </w:p>
    <w:p>
      <w:pPr>
        <w:pStyle w:val="Normal"/>
        <w:rPr>
          <w:rFonts w:ascii="Arial" w:hAnsi="Arial" w:cs="Arial"/>
        </w:rPr>
      </w:pPr>
      <w:r>
        <w:rPr>
          <w:rFonts w:cs="Arial" w:ascii="Arial" w:hAnsi="Arial"/>
        </w:rPr>
      </w:r>
    </w:p>
    <w:p>
      <w:pPr>
        <w:pStyle w:val="Normal"/>
        <w:jc w:val="end"/>
        <w:rPr>
          <w:rFonts w:ascii="Arial" w:hAnsi="Arial" w:cs="Arial"/>
          <w:spacing w:val="20"/>
        </w:rPr>
      </w:pPr>
      <w:r>
        <w:rPr>
          <w:rFonts w:cs="Arial" w:ascii="Arial" w:hAnsi="Arial"/>
          <w:spacing w:val="20"/>
        </w:rPr>
      </w:r>
    </w:p>
    <w:p>
      <w:pPr>
        <w:pStyle w:val="Normal"/>
        <w:ind w:start="6480" w:end="0"/>
        <w:rPr>
          <w:rFonts w:ascii="Arial" w:hAnsi="Arial" w:cs="Arial"/>
          <w:spacing w:val="-8"/>
          <w:sz w:val="16"/>
        </w:rPr>
      </w:pPr>
      <w:r>
        <w:rPr>
          <w:rFonts w:cs="Arial" w:ascii="Arial" w:hAnsi="Arial"/>
          <w:spacing w:val="-8"/>
          <w:sz w:val="16"/>
        </w:rPr>
        <w:t>1401 New York Avenue, NW</w:t>
      </w:r>
    </w:p>
    <w:p>
      <w:pPr>
        <w:pStyle w:val="Normal"/>
        <w:rPr/>
      </w:pPr>
      <w:r>
        <w:rPr>
          <w:rFonts w:cs="Arial" w:ascii="Arial" w:hAnsi="Arial"/>
          <w:spacing w:val="-8"/>
          <w:sz w:val="16"/>
        </w:rPr>
        <w:tab/>
        <w:tab/>
        <w:tab/>
        <w:tab/>
        <w:tab/>
        <w:tab/>
        <w:tab/>
        <w:tab/>
        <w:tab/>
        <w:t>11</w:t>
      </w:r>
      <w:r>
        <w:rPr>
          <w:rFonts w:cs="Arial" w:ascii="Arial" w:hAnsi="Arial"/>
          <w:spacing w:val="-8"/>
          <w:sz w:val="16"/>
          <w:vertAlign w:val="superscript"/>
        </w:rPr>
        <w:t>th</w:t>
      </w:r>
      <w:r>
        <w:rPr>
          <w:rFonts w:cs="Arial" w:ascii="Arial" w:hAnsi="Arial"/>
          <w:spacing w:val="-8"/>
          <w:sz w:val="16"/>
        </w:rPr>
        <w:t xml:space="preserve"> Floor</w:t>
      </w:r>
    </w:p>
    <w:p>
      <w:pPr>
        <w:pStyle w:val="Normal"/>
        <w:rPr>
          <w:rFonts w:ascii="Arial" w:hAnsi="Arial" w:cs="Arial"/>
          <w:spacing w:val="-8"/>
          <w:sz w:val="16"/>
        </w:rPr>
      </w:pPr>
      <w:r>
        <w:rPr>
          <w:rFonts w:cs="Arial" w:ascii="Arial" w:hAnsi="Arial"/>
          <w:spacing w:val="-8"/>
          <w:sz w:val="16"/>
        </w:rPr>
        <w:tab/>
        <w:tab/>
        <w:tab/>
        <w:tab/>
        <w:tab/>
        <w:tab/>
        <w:tab/>
        <w:tab/>
        <w:tab/>
        <w:t>Washington, DC 20005</w:t>
      </w:r>
    </w:p>
    <w:p>
      <w:pPr>
        <w:pStyle w:val="Normal"/>
        <w:rPr>
          <w:rFonts w:ascii="Arial" w:hAnsi="Arial" w:cs="Arial"/>
          <w:spacing w:val="-8"/>
          <w:sz w:val="16"/>
        </w:rPr>
      </w:pPr>
      <w:r>
        <w:rPr>
          <w:rFonts w:cs="Arial" w:ascii="Arial" w:hAnsi="Arial"/>
          <w:spacing w:val="-8"/>
          <w:sz w:val="16"/>
        </w:rPr>
        <w:tab/>
        <w:tab/>
        <w:tab/>
        <w:tab/>
        <w:tab/>
        <w:tab/>
        <w:tab/>
        <w:tab/>
        <w:tab/>
        <w:t>202/628-8200</w:t>
      </w:r>
    </w:p>
    <w:p>
      <w:pPr>
        <w:pStyle w:val="Normal"/>
        <w:rPr>
          <w:rFonts w:ascii="Arial" w:hAnsi="Arial" w:cs="Arial"/>
          <w:spacing w:val="-8"/>
          <w:sz w:val="16"/>
        </w:rPr>
      </w:pPr>
      <w:r>
        <w:rPr>
          <w:rFonts w:cs="Arial" w:ascii="Arial" w:hAnsi="Arial"/>
          <w:spacing w:val="-8"/>
          <w:sz w:val="16"/>
        </w:rPr>
        <w:tab/>
        <w:tab/>
        <w:tab/>
        <w:tab/>
        <w:tab/>
        <w:tab/>
        <w:tab/>
        <w:tab/>
        <w:tab/>
        <w:t>202/628-8260  fax</w:t>
      </w:r>
    </w:p>
    <w:p>
      <w:pPr>
        <w:pStyle w:val="Normal"/>
        <w:ind w:firstLine="720" w:start="5760" w:end="0"/>
        <w:rPr>
          <w:rFonts w:ascii="Arial" w:hAnsi="Arial" w:cs="Arial"/>
        </w:rPr>
      </w:pPr>
      <w:r>
        <w:rPr>
          <w:rFonts w:cs="Arial" w:ascii="Arial" w:hAnsi="Arial"/>
          <w:spacing w:val="-14"/>
          <w:sz w:val="16"/>
        </w:rPr>
        <w:t>www.epsa.org</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5040" w:end="0"/>
        <w:rPr>
          <w:rFonts w:ascii="Arial" w:hAnsi="Arial" w:cs="Arial"/>
        </w:rPr>
      </w:pPr>
      <w:r>
        <w:rPr>
          <w:rFonts w:cs="Arial" w:ascii="Arial" w:hAnsi="Arial"/>
        </w:rPr>
      </w:r>
    </w:p>
    <w:p>
      <w:pPr>
        <w:pStyle w:val="Normal"/>
        <w:ind w:firstLine="720" w:start="5040" w:end="0"/>
        <w:rPr>
          <w:rFonts w:ascii="Arial" w:hAnsi="Arial" w:cs="Arial"/>
        </w:rPr>
      </w:pPr>
      <w:r>
        <w:rPr>
          <w:rFonts w:cs="Arial" w:ascii="Arial" w:hAnsi="Arial"/>
        </w:rPr>
        <w:t>December 21,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VIA MESSENGER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Honorable David P. Boergers</w:t>
      </w:r>
    </w:p>
    <w:p>
      <w:pPr>
        <w:pStyle w:val="Normal"/>
        <w:rPr>
          <w:rFonts w:ascii="Arial" w:hAnsi="Arial" w:cs="Arial"/>
        </w:rPr>
      </w:pPr>
      <w:r>
        <w:rPr>
          <w:rFonts w:cs="Arial" w:ascii="Arial" w:hAnsi="Arial"/>
        </w:rPr>
        <w:t>Secretary</w:t>
        <w:br/>
        <w:t>Office of the Secretary</w:t>
      </w:r>
    </w:p>
    <w:p>
      <w:pPr>
        <w:pStyle w:val="Normal"/>
        <w:rPr>
          <w:rFonts w:ascii="Arial" w:hAnsi="Arial" w:cs="Arial"/>
        </w:rPr>
      </w:pPr>
      <w:r>
        <w:rPr>
          <w:rFonts w:cs="Arial" w:ascii="Arial" w:hAnsi="Arial"/>
        </w:rPr>
        <w:t>Federal Energy Regulatory Commission</w:t>
      </w:r>
    </w:p>
    <w:p>
      <w:pPr>
        <w:pStyle w:val="Normal"/>
        <w:rPr>
          <w:rFonts w:ascii="Arial" w:hAnsi="Arial" w:cs="Arial"/>
        </w:rPr>
      </w:pPr>
      <w:r>
        <w:rPr>
          <w:rFonts w:cs="Arial" w:ascii="Arial" w:hAnsi="Arial"/>
        </w:rPr>
        <w:t>888 First Street, N.E.</w:t>
      </w:r>
    </w:p>
    <w:p>
      <w:pPr>
        <w:pStyle w:val="Normal"/>
        <w:rPr>
          <w:rFonts w:ascii="Arial" w:hAnsi="Arial" w:cs="Arial"/>
        </w:rPr>
      </w:pPr>
      <w:r>
        <w:rPr>
          <w:rFonts w:cs="Arial" w:ascii="Arial" w:hAnsi="Arial"/>
        </w:rPr>
        <w:t>Washington, D.C.  20426</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b/>
        </w:rPr>
      </w:pPr>
      <w:r>
        <w:rPr>
          <w:rFonts w:cs="Arial" w:ascii="Arial" w:hAnsi="Arial"/>
          <w:b/>
        </w:rPr>
        <w:t>Re: Docket No. RT01-100-000</w:t>
      </w:r>
    </w:p>
    <w:p>
      <w:pPr>
        <w:pStyle w:val="Normal"/>
        <w:rPr>
          <w:rFonts w:ascii="Arial" w:hAnsi="Arial" w:cs="Arial"/>
          <w:b/>
        </w:rPr>
      </w:pPr>
      <w:r>
        <w:rPr>
          <w:rFonts w:cs="Arial" w:ascii="Arial" w:hAnsi="Arial"/>
          <w:b/>
        </w:rPr>
        <w:tab/>
        <w:tab/>
        <w:t xml:space="preserve">     RT01-77-000</w:t>
      </w:r>
    </w:p>
    <w:p>
      <w:pPr>
        <w:pStyle w:val="Normal"/>
        <w:rPr>
          <w:rFonts w:ascii="Arial" w:hAnsi="Arial" w:cs="Arial"/>
          <w:b/>
        </w:rPr>
      </w:pPr>
      <w:r>
        <w:rPr>
          <w:rFonts w:cs="Arial" w:ascii="Arial" w:hAnsi="Arial"/>
          <w:b/>
        </w:rPr>
        <w:tab/>
        <w:tab/>
        <w:t xml:space="preserve">     RT01-75-000</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Dear Secretary Boergers: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Enclosed please find one electronic filing in the above referenced proceedings.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Respectfully submitted,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Jacqueline Gallagher</w:t>
      </w:r>
    </w:p>
    <w:p>
      <w:pPr>
        <w:pStyle w:val="Normal"/>
        <w:rPr>
          <w:rFonts w:ascii="Arial" w:hAnsi="Arial" w:cs="Arial"/>
        </w:rPr>
      </w:pPr>
      <w:r>
        <w:rPr>
          <w:rFonts w:cs="Arial" w:ascii="Arial" w:hAnsi="Arial"/>
        </w:rPr>
        <w:t>Policy/Research Coordinator</w:t>
      </w:r>
      <w:r>
        <w:rPr/>
        <w:t xml:space="preserve"> </w:t>
      </w:r>
      <w:r>
        <w:br w:type="page"/>
      </w:r>
    </w:p>
    <w:p>
      <w:pPr>
        <w:pStyle w:val="Normal"/>
        <w:rPr>
          <w:rFonts w:ascii="Arial" w:hAnsi="Arial" w:cs="Arial"/>
        </w:rPr>
      </w:pPr>
      <w:r>
        <w:rPr>
          <w:rFonts w:cs="Arial" w:ascii="Arial" w:hAnsi="Arial"/>
        </w:rPr>
      </w:r>
    </w:p>
    <w:p>
      <w:pPr>
        <w:pStyle w:val="Center"/>
        <w:spacing w:before="0" w:after="0"/>
        <w:rPr>
          <w:rFonts w:ascii="Arial" w:hAnsi="Arial" w:cs="Arial"/>
        </w:rPr>
      </w:pPr>
      <w:r>
        <w:rPr>
          <w:rFonts w:cs="Arial" w:ascii="Arial" w:hAnsi="Arial"/>
        </w:rPr>
        <w:t>UNITED STATES OF AMERICA</w:t>
      </w:r>
    </w:p>
    <w:p>
      <w:pPr>
        <w:pStyle w:val="Normal"/>
        <w:jc w:val="center"/>
        <w:rPr>
          <w:rFonts w:ascii="Arial" w:hAnsi="Arial" w:cs="Arial"/>
        </w:rPr>
      </w:pPr>
      <w:r>
        <w:rPr>
          <w:rFonts w:cs="Arial" w:ascii="Arial" w:hAnsi="Arial"/>
        </w:rPr>
        <w:t>BEFORE THE</w:t>
      </w:r>
    </w:p>
    <w:p>
      <w:pPr>
        <w:pStyle w:val="Normal"/>
        <w:jc w:val="center"/>
        <w:rPr>
          <w:rFonts w:ascii="Arial" w:hAnsi="Arial" w:cs="Arial"/>
        </w:rPr>
      </w:pPr>
      <w:r>
        <w:rPr>
          <w:rFonts w:cs="Arial" w:ascii="Arial" w:hAnsi="Arial"/>
        </w:rPr>
        <w:t>FEDERAL ENERGY REGULATORY COMMISSION</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____________________________________</w:t>
      </w:r>
    </w:p>
    <w:p>
      <w:pPr>
        <w:pStyle w:val="Normal"/>
        <w:rPr>
          <w:rFonts w:ascii="Arial" w:hAnsi="Arial" w:cs="Arial"/>
        </w:rPr>
      </w:pPr>
      <w:r>
        <w:rPr>
          <w:rFonts w:eastAsia="Arial" w:cs="Arial" w:ascii="Arial" w:hAnsi="Arial"/>
        </w:rPr>
        <w:t xml:space="preserve"> </w:t>
      </w:r>
      <w:r>
        <w:rPr>
          <w:rFonts w:cs="Arial" w:ascii="Arial" w:hAnsi="Arial"/>
        </w:rPr>
        <w:tab/>
        <w:tab/>
        <w:tab/>
        <w:tab/>
        <w:tab/>
        <w:tab/>
        <w:t xml:space="preserve">        ) </w:t>
        <w:tab/>
        <w:tab/>
        <w:tab/>
        <w:t>Docket No. RT01-100-000</w:t>
        <w:tab/>
      </w:r>
    </w:p>
    <w:p>
      <w:pPr>
        <w:pStyle w:val="Normal"/>
        <w:rPr/>
      </w:pPr>
      <w:r>
        <w:rPr>
          <w:rFonts w:cs="Arial" w:ascii="Arial" w:hAnsi="Arial"/>
        </w:rPr>
        <w:t>SeTrans RTO</w:t>
      </w:r>
      <w:r>
        <w:rPr>
          <w:rFonts w:cs="Arial" w:ascii="Arial" w:hAnsi="Arial"/>
          <w:b/>
        </w:rPr>
        <w:t xml:space="preserve"> </w:t>
        <w:tab/>
        <w:tab/>
        <w:tab/>
        <w:tab/>
        <w:t xml:space="preserve">        </w:t>
      </w:r>
      <w:r>
        <w:rPr>
          <w:rFonts w:cs="Arial" w:ascii="Arial" w:hAnsi="Arial"/>
        </w:rPr>
        <w:t>)</w:t>
        <w:tab/>
        <w:tab/>
        <w:tab/>
        <w:t>Docket No. RT01-77-000</w:t>
      </w:r>
    </w:p>
    <w:p>
      <w:pPr>
        <w:pStyle w:val="Normal"/>
        <w:rPr>
          <w:rFonts w:ascii="Arial" w:hAnsi="Arial" w:cs="Arial"/>
          <w:b/>
        </w:rPr>
      </w:pPr>
      <w:r>
        <w:rPr>
          <w:rFonts w:cs="Arial" w:ascii="Arial" w:hAnsi="Arial"/>
          <w:b/>
        </w:rPr>
        <w:tab/>
        <w:tab/>
        <w:tab/>
        <w:t xml:space="preserve">        </w:t>
        <w:tab/>
        <w:tab/>
        <w:tab/>
        <w:t xml:space="preserve">        </w:t>
      </w:r>
      <w:r>
        <w:rPr>
          <w:rFonts w:cs="Arial" w:ascii="Arial" w:hAnsi="Arial"/>
        </w:rPr>
        <w:t>)</w:t>
      </w:r>
      <w:r>
        <w:rPr>
          <w:rFonts w:cs="Arial" w:ascii="Arial" w:hAnsi="Arial"/>
          <w:b/>
        </w:rPr>
        <w:tab/>
        <w:tab/>
        <w:tab/>
      </w:r>
      <w:r>
        <w:rPr>
          <w:rFonts w:cs="Arial" w:ascii="Arial" w:hAnsi="Arial"/>
        </w:rPr>
        <w:t>Docket No. RT01-75-000</w:t>
      </w:r>
    </w:p>
    <w:p>
      <w:pPr>
        <w:pStyle w:val="Normal"/>
        <w:rPr/>
      </w:pPr>
      <w:r>
        <w:rPr>
          <w:rFonts w:cs="Arial" w:ascii="Arial" w:hAnsi="Arial"/>
          <w:b/>
        </w:rPr>
        <w:t>____________________________________</w:t>
      </w:r>
      <w:r>
        <w:rPr>
          <w:rFonts w:cs="Arial" w:ascii="Arial" w:hAnsi="Arial"/>
        </w:rPr>
        <w:t>)</w:t>
      </w:r>
    </w:p>
    <w:p>
      <w:pPr>
        <w:pStyle w:val="Normal"/>
        <w:rPr>
          <w:rFonts w:ascii="Arial" w:hAnsi="Arial" w:cs="Arial"/>
        </w:rPr>
      </w:pPr>
      <w:r>
        <w:rPr>
          <w:rFonts w:cs="Arial" w:ascii="Arial" w:hAnsi="Arial"/>
        </w:rPr>
      </w:r>
    </w:p>
    <w:p>
      <w:pPr>
        <w:pStyle w:val="TitleStyle"/>
        <w:spacing w:lineRule="exact" w:line="260"/>
        <w:rPr>
          <w:rFonts w:ascii="Arial" w:hAnsi="Arial" w:cs="Arial"/>
          <w:caps w:val="false"/>
          <w:smallCaps w:val="false"/>
        </w:rPr>
      </w:pPr>
      <w:r>
        <w:rPr>
          <w:rFonts w:cs="Arial" w:ascii="Arial" w:hAnsi="Arial"/>
          <w:caps w:val="false"/>
          <w:smallCaps w:val="false"/>
        </w:rPr>
        <w:t>MOTION TO PROTEST OUT OF TIME</w:t>
      </w:r>
    </w:p>
    <w:p>
      <w:pPr>
        <w:pStyle w:val="Normal"/>
        <w:jc w:val="center"/>
        <w:rPr>
          <w:rFonts w:ascii="Arial" w:hAnsi="Arial" w:cs="Arial"/>
          <w:b/>
        </w:rPr>
      </w:pPr>
      <w:r>
        <w:rPr>
          <w:rFonts w:eastAsia="Arial" w:cs="Arial" w:ascii="Arial" w:hAnsi="Arial"/>
          <w:b/>
        </w:rPr>
        <w:t xml:space="preserve"> </w:t>
      </w:r>
      <w:r>
        <w:rPr>
          <w:rFonts w:cs="Arial" w:ascii="Arial" w:hAnsi="Arial"/>
          <w:b/>
        </w:rPr>
        <w:t>OF THE</w:t>
      </w:r>
    </w:p>
    <w:p>
      <w:pPr>
        <w:pStyle w:val="TitleStyle"/>
        <w:spacing w:lineRule="exact" w:line="260"/>
        <w:rPr>
          <w:rFonts w:ascii="Arial" w:hAnsi="Arial" w:cs="Arial"/>
          <w:caps w:val="false"/>
          <w:smallCaps w:val="false"/>
        </w:rPr>
      </w:pPr>
      <w:r>
        <w:rPr>
          <w:rFonts w:cs="Arial" w:ascii="Arial" w:hAnsi="Arial"/>
          <w:caps w:val="false"/>
          <w:smallCaps w:val="false"/>
        </w:rPr>
        <w:t>ELECTRIC POWER SUPPLY ASSOCIATION</w:t>
      </w:r>
    </w:p>
    <w:p>
      <w:pPr>
        <w:pStyle w:val="Normal"/>
        <w:tabs>
          <w:tab w:val="clear" w:pos="720"/>
          <w:tab w:val="left" w:pos="-720" w:leader="none"/>
        </w:tabs>
        <w:suppressAutoHyphens w:val="true"/>
        <w:rPr>
          <w:rFonts w:ascii="Arial" w:hAnsi="Arial" w:cs="Arial"/>
          <w:caps/>
        </w:rPr>
      </w:pPr>
      <w:r>
        <w:rPr>
          <w:rFonts w:cs="Arial" w:ascii="Arial" w:hAnsi="Arial"/>
          <w:caps/>
        </w:rPr>
      </w:r>
    </w:p>
    <w:p>
      <w:pPr>
        <w:pStyle w:val="BodyTextStyle"/>
        <w:rPr/>
      </w:pPr>
      <w:r>
        <w:rPr/>
        <w:t>Pursuant to Rules 211 of the Rules of Practice and Procedure of the Federal Energy Regulatory Commission (“FERC” or “Commission”), 18 C.F.R. § 385.211, the Electric Power Supply Association (“EPSA”) hereby requests leave to protest one day out of time the Supplemental Status Report (“Supplemental Report”) filed by the SeTrans Participants</w:t>
      </w:r>
      <w:r>
        <w:rPr>
          <w:rStyle w:val="FootnoteReference"/>
          <w:vertAlign w:val="superscript"/>
        </w:rPr>
        <w:footnoteReference w:id="2"/>
      </w:r>
      <w:r>
        <w:rPr/>
        <w:t xml:space="preserve"> on November 20, 2001 in the above-captioned proceeding.</w:t>
      </w:r>
      <w:r>
        <w:rPr>
          <w:rStyle w:val="FootnoteReference"/>
          <w:vertAlign w:val="superscript"/>
        </w:rPr>
        <w:footnoteReference w:id="3"/>
      </w:r>
    </w:p>
    <w:p>
      <w:pPr>
        <w:pStyle w:val="BodyTextStyle"/>
        <w:rPr/>
      </w:pPr>
      <w:r>
        <w:rPr/>
        <w:t>Under the circumstances, EPSA submits that good cause exists to grant it leave to protest one day out of time.  EPSA had several critical filings due on December 20, 2002, including a request for intervention, clarification and rehearing of the Commission’s November 20</w:t>
      </w:r>
      <w:r>
        <w:rPr>
          <w:vertAlign w:val="superscript"/>
        </w:rPr>
        <w:t>th</w:t>
      </w:r>
      <w:r>
        <w:rPr/>
        <w:t xml:space="preserve"> Order on market-based rate tariffs and authorizations, as well as our comments on the Commission’s Affiliate code of conduct Notice of Proposed Rulemaking.  Additionally, EPSA had a long-planned off-site staff retreat on Thursday, December 20, 2002.  As such EPSA’s protest one day out of time is in the public interest and should be granted.</w:t>
      </w:r>
    </w:p>
    <w:p>
      <w:pPr>
        <w:pStyle w:val="Heading1"/>
        <w:ind w:hanging="0" w:start="0"/>
        <w:rPr/>
      </w:pPr>
      <w:r>
        <w:rPr/>
        <w:t>INTRODUCTION</w:t>
      </w:r>
    </w:p>
    <w:p>
      <w:pPr>
        <w:pStyle w:val="BodyTextStyle"/>
        <w:rPr/>
      </w:pPr>
      <w:r>
        <w:rPr/>
        <w:t>In the Supplemental Report, the SeTrans Participants seek to (1) inform the Commission that Entergy has elected to participate in the SeTrans effort</w:t>
      </w:r>
      <w:r>
        <w:rPr>
          <w:rStyle w:val="FootnoteReference"/>
          <w:vertAlign w:val="superscript"/>
        </w:rPr>
        <w:footnoteReference w:id="4"/>
      </w:r>
      <w:r>
        <w:rPr/>
        <w:t xml:space="preserve"> and (2) gain Commission approval of SeTrans’ newly-expanded geographic scope and revised governance structure.  </w:t>
      </w:r>
    </w:p>
    <w:p>
      <w:pPr>
        <w:pStyle w:val="Heading1"/>
        <w:ind w:hanging="0" w:start="0"/>
        <w:rPr/>
      </w:pPr>
      <w:r>
        <w:rPr/>
        <w:t>EPSA’s Comments on the Supplement Report</w:t>
      </w:r>
    </w:p>
    <w:p>
      <w:pPr>
        <w:pStyle w:val="BodyTextStyle"/>
        <w:rPr/>
      </w:pPr>
      <w:r>
        <w:rPr/>
        <w:t>EPSA supports a Southeastern RTO of sufficient scope to encompass the natural markets within the region, and recognizes that inclusion of Entergy’s transmission facilities is a step in the right direction.  Nevertheless, the Supplemental Report is as devoid of detail as any of Southern Company’s or SeTrans’ previous proposals and retains the flaws EPSA has noted in previous protests in these proceedings.</w:t>
      </w:r>
      <w:r>
        <w:rPr>
          <w:rStyle w:val="FootnoteCharacters"/>
          <w:rStyle w:val="FootnoteReference"/>
        </w:rPr>
        <w:footnoteReference w:id="5"/>
      </w:r>
      <w:r>
        <w:rPr/>
        <w:t xml:space="preserve">   </w:t>
      </w:r>
    </w:p>
    <w:p>
      <w:pPr>
        <w:pStyle w:val="BodyTextStyle"/>
        <w:rPr/>
      </w:pPr>
      <w:r>
        <w:rPr/>
        <w:t xml:space="preserve">EPSA continues to believe that sharing of responsibility between an RTO and an Independent Transmission Company (“ITC”) is a sub-optimal and inefficient solution to transmission operation.  If the Commission determines that an RTO/ITC structure is acceptable, the Commission must assure that the RTO retains adequate authority over  tariff administration, transmission planning, congestion management and other operational issues, to ensure that transmission owners, under the guise of an ITC, cannot dominate transmission operations.  The structure discussed in the Supplemental Report gives too much authority to the Entergy ITC, ensuring that a SeTrans RTO would not be adequately independent. </w:t>
      </w:r>
    </w:p>
    <w:p>
      <w:pPr>
        <w:pStyle w:val="BodyTextStyle"/>
        <w:rPr/>
      </w:pPr>
      <w:r>
        <w:rPr/>
        <w:t xml:space="preserve">EPSA commends the SeTrans Participants for abandoning their previous support for a physical rights-based congestion management scheme in favor of the Locational Marginal Pricing (LMP)/financial rights structure supported by the majority of participants in the Southeast mediation. EPSA’s members have consistently favored a financial rights model.  However, before EPSA can fully support the SeTrans congestion management proposal, the SeTrans Participants and interested stakeholders need to develop details for operation of the congestion management system.  </w:t>
      </w:r>
    </w:p>
    <w:p>
      <w:pPr>
        <w:pStyle w:val="Heading2"/>
        <w:ind w:hanging="0" w:start="0"/>
        <w:rPr/>
      </w:pPr>
      <w:r>
        <w:rPr/>
        <w:t>The SeTrans Proposal Remains of Insufficient Scope and Configuration to Encompass All Regional Markets</w:t>
      </w:r>
    </w:p>
    <w:p>
      <w:pPr>
        <w:pStyle w:val="BodyTextStyle"/>
        <w:rPr/>
      </w:pPr>
      <w:r>
        <w:rPr/>
        <w:t>As discussed above, EPSA supports a regional RTO that encompasses all natural markets in the Southeast, a goal the Commission has repeatedly endorsed.  Including Entergy in any such RTO is a necessity, and the SeTrans Supplemental Report is a step in the right direction.  Nevertheless, the newly-expanded SeTrans remains deficient, for two reasons.  First, in the Southeast RTO mediation proceeding, the Collaborative Governance Model, not SeTrans, garnered the support of most market participants.  Nothing in the Supplemental Report is likely to change this fact.</w:t>
      </w:r>
    </w:p>
    <w:p>
      <w:pPr>
        <w:pStyle w:val="BodyTextStyle"/>
        <w:rPr/>
      </w:pPr>
      <w:r>
        <w:rPr/>
        <w:t>Second, EPSA is not convinced that Entergy will remain a long-term participant in the SeTrans effort.  Entergy has flirted with a number of RTO proposals in the past, only to abandon such efforts upon realization that the RTO would not afford Entergy’s ITC sufficient control.  Time will tell if Entergy has finally found an RTO home, but EPSA remains concerned that SeTrans’ scope may materially change in the future.</w:t>
      </w:r>
    </w:p>
    <w:p>
      <w:pPr>
        <w:pStyle w:val="Heading2"/>
        <w:ind w:hanging="0" w:start="0"/>
        <w:rPr/>
      </w:pPr>
      <w:r>
        <w:rPr/>
        <w:t>SeTrans Transmission Owners Retain Too Much Control Over RTO Operations</w:t>
      </w:r>
    </w:p>
    <w:p>
      <w:pPr>
        <w:pStyle w:val="BodyTextStyle"/>
        <w:rPr/>
      </w:pPr>
      <w:r>
        <w:rPr/>
        <w:t xml:space="preserve">The SeTrans proposal remains centered around an “independent” System Administrator that would operate under its own Board of Directors and corporate management.  The System Administrator would operate under contract with the SeTrans Transmission Owners (“TOs”), and would be controlled by the TOs, who retain the ability to hire and fire the System Administrator.  If anything, the revised SeTrans proposal makes it </w:t>
      </w:r>
      <w:r>
        <w:rPr>
          <w:i/>
        </w:rPr>
        <w:t xml:space="preserve">easier </w:t>
      </w:r>
      <w:r>
        <w:rPr/>
        <w:t>for the TOs to fire the System Administrator if they do not like the way the RTO is being operated.</w:t>
      </w:r>
      <w:r>
        <w:rPr>
          <w:rStyle w:val="FootnoteCharacters"/>
          <w:rStyle w:val="FootnoteReference"/>
        </w:rPr>
        <w:footnoteReference w:id="6"/>
      </w:r>
    </w:p>
    <w:p>
      <w:pPr>
        <w:pStyle w:val="BodyTextStyle"/>
        <w:rPr/>
      </w:pPr>
      <w:r>
        <w:rPr/>
        <w:t xml:space="preserve">SeTrans TOs will also be able to control RTO operations through the terms of their individual contracts with the System Administrator, which will apparently be negotiated with little, if any, stakeholder input and outside any meaningful independent oversight.  The SeTrans participants have long promised to develop some </w:t>
      </w:r>
      <w:r>
        <w:rPr>
          <w:i/>
        </w:rPr>
        <w:t>pro forma</w:t>
      </w:r>
      <w:r>
        <w:rPr/>
        <w:t xml:space="preserve"> terms for these agreements, but such terms have not been adequately developed, and it remains unclear which terms will be modifiable at the discretion of individual TOs or ITCs.</w:t>
      </w:r>
    </w:p>
    <w:p>
      <w:pPr>
        <w:pStyle w:val="BodyTextStyle"/>
        <w:rPr/>
      </w:pPr>
      <w:r>
        <w:rPr/>
        <w:t>Finally, it remains unclear what the division of responsibility and governance will be between the System Administrator’s Board of Directors and the RTO Board.  Inasmuch as stakeholders will have no control over selection of the System Administrator Board, the division of responsibility is an important detail that has not, to date, been adequately addressed.</w:t>
      </w:r>
    </w:p>
    <w:p>
      <w:pPr>
        <w:pStyle w:val="Heading2"/>
        <w:ind w:hanging="0" w:start="0"/>
        <w:rPr/>
      </w:pPr>
      <w:r>
        <w:rPr/>
        <w:t>Dividing Responsibility Between the RTO and an ITC Will Allow Transmission Owners to Control the RTO</w:t>
      </w:r>
    </w:p>
    <w:p>
      <w:pPr>
        <w:pStyle w:val="BodyTextStyle"/>
        <w:rPr/>
      </w:pPr>
      <w:r>
        <w:rPr/>
        <w:t>EPSA’s members generally supported the Collaborative Governance Model in the Southeast RTO mediation proceeding.  This general level of support, however, was reduced when the GridSouth and GridFlorida proponents grafted the Entergy ITC concept onto the transco model previously proposed.  Allowing a TO-controlled ITC, like that proposed by Entergy, to take over responsibility that would otherwise be exercised by an independent RTO permits the TO/ITC to favor local interests over regional, RTO-wide concerns, and allows the TO/ITC to dominate transmission decisionmaking, favoring its own affiliates over other market participants.</w:t>
      </w:r>
    </w:p>
    <w:p>
      <w:pPr>
        <w:pStyle w:val="BodyTextStyle"/>
        <w:rPr/>
      </w:pPr>
      <w:r>
        <w:rPr/>
        <w:t xml:space="preserve">EPSA remains concerned that </w:t>
      </w:r>
      <w:r>
        <w:rPr>
          <w:i/>
        </w:rPr>
        <w:t>any</w:t>
      </w:r>
      <w:r>
        <w:rPr/>
        <w:t xml:space="preserve"> RTO proposal that delegates authority to an ITC would not be independent.  Nevertheless, it may be possible to design a bifurcated RTO/ITC structure with adequate safeguards to ensure that an independent RTO will prevent harm to regional markets by ITCs that are, by definition, less independent.  In the SeTrans model, however, there are no details regarding the proposed sharing of responsibility.  Without such details, EPSA cannot determine if market participants and the markets they participate in will be protected from the excesses inherent in an RTO/ITC structure. </w:t>
      </w:r>
    </w:p>
    <w:p>
      <w:pPr>
        <w:pStyle w:val="Heading2"/>
        <w:ind w:hanging="0" w:start="0"/>
        <w:rPr/>
      </w:pPr>
      <w:r>
        <w:rPr/>
        <w:t>The SeTrans Participants Have Still Not Implemented Meaningful Opportunity for Stakeholder Input</w:t>
      </w:r>
    </w:p>
    <w:p>
      <w:pPr>
        <w:pStyle w:val="BodyTextStyle"/>
        <w:rPr/>
      </w:pPr>
      <w:r>
        <w:rPr/>
        <w:t>EPSA believes that, to be effective, an RTO must be developed through an open, collaborative process that provides all stakeholders with the opportunity for meaningful input.  The SeTrans proposal, however, from its beginnings as a Southern-only organization, has been developed by transmission owners with no opportunity for stakeholder participation.  When the SeTrans Participants have allowed stakeholder comment, such comments have been ignored.  Allowing stakeholders to comment on proposals developed by the TOs is not sufficient – stakeholders must be involved from the beginning.</w:t>
      </w:r>
    </w:p>
    <w:p>
      <w:pPr>
        <w:pStyle w:val="BodyTextStyle"/>
        <w:rPr/>
      </w:pPr>
      <w:r>
        <w:rPr/>
        <w:t>EPSA commends SeTrans for its proposal to form a Stakeholder Advisory Committee, but fears such efforts may be too little, too late.  EPSA’s members will likely participate in the Committee formation meeting proposed for January, 2002, but EPSA remains concerned that the Committee will be no more than the stakeholder window dressing such efforts have been in the past.  The Commission should require the SeTrans participants to develop all aspects of their RTO proposal and RTO structure with meaningful stakeholder input and decisionmaking, and the Commission should remain actively engaged in the process.  Doing so would advance the progress made in the Southeastern RTO mediation, which would likely not have occurred but for the supervision of a Commission ALJ.</w:t>
      </w:r>
    </w:p>
    <w:p>
      <w:pPr>
        <w:pStyle w:val="BodyTextStyle"/>
        <w:rPr/>
      </w:pPr>
      <w:r>
        <w:rPr/>
        <w:t>The SeTrans Participants can prove their commitment to meaningful stakeholder participation by including stakeholders in developing the SeTrans financial rights congestion management proposal.  EPSA supports a financial rights model, but remains concerned that the details of such a model must support efficient and competitive markets.  The Commission should require the SeTrans Participants to implement a stakeholder process to develop details for a congestion management scheme, which should begin with the financial rights model supported by most participants in the Southeast RTO mediation.</w:t>
      </w:r>
    </w:p>
    <w:p>
      <w:pPr>
        <w:pStyle w:val="Heading1"/>
        <w:ind w:hanging="0" w:start="0"/>
        <w:rPr/>
      </w:pPr>
      <w:r>
        <w:rPr/>
        <w:t>conclusion</w:t>
      </w:r>
    </w:p>
    <w:p>
      <w:pPr>
        <w:pStyle w:val="Normal"/>
        <w:spacing w:lineRule="auto" w:line="480"/>
        <w:ind w:firstLine="720" w:end="0"/>
        <w:rPr>
          <w:rFonts w:ascii="Arial" w:hAnsi="Arial" w:cs="Arial"/>
        </w:rPr>
      </w:pPr>
      <w:r>
        <w:rPr>
          <w:rFonts w:cs="Arial" w:ascii="Arial" w:hAnsi="Arial"/>
        </w:rPr>
        <w:t>WHEREFORE, EPSA respectfully requests that the Commission reject the SeTrans governance proposal, which does not satisfy Order No. 2000’s independence requirements.  The Commission should require SeTrans to immediately implement procedures to allow meaningful stakeholder participation in developing necessary details regarding RTO structure, governance and operations, including development of a financial rights-based congestion management scheme similar to that developed in the Southeast RTO mediation proceeding.</w:t>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Arial" w:hAnsi="Arial" w:cs="Arial"/>
              </w:rPr>
            </w:pPr>
            <w:r>
              <w:rPr>
                <w:rFonts w:cs="Arial" w:ascii="Arial" w:hAnsi="Arial"/>
              </w:rPr>
              <w:t>December 21, 2001</w:t>
            </w:r>
          </w:p>
        </w:tc>
        <w:tc>
          <w:tcPr>
            <w:tcW w:w="4788" w:type="dxa"/>
            <w:tcBorders/>
          </w:tcPr>
          <w:p>
            <w:pPr>
              <w:pStyle w:val="Normal"/>
              <w:rPr>
                <w:rFonts w:ascii="Arial" w:hAnsi="Arial" w:cs="Arial"/>
              </w:rPr>
            </w:pPr>
            <w:r>
              <w:rPr>
                <w:rFonts w:cs="Arial" w:ascii="Arial" w:hAnsi="Arial"/>
              </w:rPr>
              <w:t>Respectfully submitted,</w:t>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snapToGrid w:val="false"/>
              <w:rPr>
                <w:rFonts w:ascii="Arial" w:hAnsi="Arial" w:cs="Arial"/>
              </w:rPr>
            </w:pPr>
            <w:r>
              <w:rPr>
                <w:rFonts w:cs="Arial" w:ascii="Arial" w:hAnsi="Arial"/>
              </w:rPr>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snapToGrid w:val="false"/>
              <w:rPr>
                <w:rFonts w:ascii="Arial" w:hAnsi="Arial" w:cs="Arial"/>
              </w:rPr>
            </w:pPr>
            <w:r>
              <w:rPr>
                <w:rFonts w:cs="Arial" w:ascii="Arial" w:hAnsi="Arial"/>
              </w:rPr>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rPr>
                <w:rFonts w:ascii="Arial" w:hAnsi="Arial" w:cs="Arial"/>
              </w:rPr>
            </w:pPr>
            <w:r>
              <w:rPr>
                <w:rFonts w:cs="Arial" w:ascii="Arial" w:hAnsi="Arial"/>
              </w:rPr>
              <w:t>/s/____________________________</w:t>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rPr>
                <w:rFonts w:ascii="Arial" w:hAnsi="Arial" w:cs="Arial"/>
              </w:rPr>
            </w:pPr>
            <w:r>
              <w:rPr>
                <w:rFonts w:cs="Arial" w:ascii="Arial" w:hAnsi="Arial"/>
              </w:rPr>
              <w:t>Julie Simon, Vice President of Policy</w:t>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rPr>
                <w:rFonts w:ascii="Arial" w:hAnsi="Arial" w:cs="Arial"/>
              </w:rPr>
            </w:pPr>
            <w:r>
              <w:rPr>
                <w:rFonts w:cs="Arial" w:ascii="Arial" w:hAnsi="Arial"/>
              </w:rPr>
              <w:t>Jack Cashin, Senior Manager of Policy</w:t>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rPr>
                <w:rFonts w:ascii="Arial" w:hAnsi="Arial" w:cs="Arial"/>
              </w:rPr>
            </w:pPr>
            <w:r>
              <w:rPr>
                <w:rFonts w:cs="Arial" w:ascii="Arial" w:hAnsi="Arial"/>
              </w:rPr>
              <w:t>Electric Power Supply Association</w:t>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rPr/>
            </w:pPr>
            <w:r>
              <w:rPr>
                <w:rFonts w:cs="Arial" w:ascii="Arial" w:hAnsi="Arial"/>
              </w:rPr>
              <w:t>1401 New York Avenue, NW  11</w:t>
            </w:r>
            <w:r>
              <w:rPr>
                <w:rFonts w:cs="Arial" w:ascii="Arial" w:hAnsi="Arial"/>
                <w:vertAlign w:val="superscript"/>
              </w:rPr>
              <w:t>th</w:t>
            </w:r>
            <w:r>
              <w:rPr>
                <w:rFonts w:cs="Arial" w:ascii="Arial" w:hAnsi="Arial"/>
              </w:rPr>
              <w:t xml:space="preserve"> Floor</w:t>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rPr>
                <w:rFonts w:ascii="Arial" w:hAnsi="Arial" w:cs="Arial"/>
              </w:rPr>
            </w:pPr>
            <w:r>
              <w:rPr>
                <w:rFonts w:cs="Arial" w:ascii="Arial" w:hAnsi="Arial"/>
              </w:rPr>
              <w:t>Washington, D.C.  20005</w:t>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snapToGrid w:val="false"/>
              <w:rPr>
                <w:rFonts w:ascii="Arial" w:hAnsi="Arial" w:cs="Arial"/>
              </w:rPr>
            </w:pPr>
            <w:r>
              <w:rPr>
                <w:rFonts w:cs="Arial" w:ascii="Arial" w:hAnsi="Arial"/>
              </w:rPr>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snapToGrid w:val="false"/>
              <w:rPr>
                <w:rFonts w:ascii="Arial" w:hAnsi="Arial" w:cs="Arial"/>
              </w:rPr>
            </w:pPr>
            <w:r>
              <w:rPr>
                <w:rFonts w:cs="Arial" w:ascii="Arial" w:hAnsi="Arial"/>
              </w:rPr>
            </w:r>
          </w:p>
        </w:tc>
      </w:tr>
      <w:tr>
        <w:trPr/>
        <w:tc>
          <w:tcPr>
            <w:tcW w:w="4788" w:type="dxa"/>
            <w:tcBorders/>
          </w:tcPr>
          <w:p>
            <w:pPr>
              <w:pStyle w:val="Normal"/>
              <w:snapToGrid w:val="false"/>
              <w:rPr>
                <w:rFonts w:ascii="Arial" w:hAnsi="Arial" w:cs="Arial"/>
              </w:rPr>
            </w:pPr>
            <w:r>
              <w:rPr>
                <w:rFonts w:cs="Arial" w:ascii="Arial" w:hAnsi="Arial"/>
              </w:rPr>
            </w:r>
          </w:p>
        </w:tc>
        <w:tc>
          <w:tcPr>
            <w:tcW w:w="4788" w:type="dxa"/>
            <w:tcBorders/>
          </w:tcPr>
          <w:p>
            <w:pPr>
              <w:pStyle w:val="Normal"/>
              <w:snapToGrid w:val="false"/>
              <w:rPr>
                <w:rFonts w:ascii="Arial" w:hAnsi="Arial" w:cs="Arial"/>
              </w:rPr>
            </w:pPr>
            <w:r>
              <w:rPr>
                <w:rFonts w:cs="Arial" w:ascii="Arial" w:hAnsi="Arial"/>
              </w:rPr>
            </w:r>
          </w:p>
        </w:tc>
      </w:tr>
    </w:tbl>
    <w:p>
      <w:pPr>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432" w:top="1440" w:footer="720" w:bottom="1440"/>
          <w:pgNumType w:start="0" w:fmt="decimal"/>
          <w:formProt w:val="false"/>
          <w:titlePg/>
          <w:textDirection w:val="lrTb"/>
          <w:docGrid w:type="default" w:linePitch="360" w:charSpace="0"/>
        </w:sectPr>
        <w:pStyle w:val="TitleStyle"/>
        <w:rPr>
          <w:rFonts w:ascii="Arial" w:hAnsi="Arial" w:cs="Arial"/>
          <w:u w:val="single"/>
        </w:rPr>
      </w:pPr>
      <w:r>
        <w:rPr>
          <w:rFonts w:cs="Arial" w:ascii="Arial" w:hAnsi="Arial"/>
          <w:u w:val="single"/>
        </w:rPr>
      </w:r>
    </w:p>
    <w:p>
      <w:pPr>
        <w:pStyle w:val="TitleStyle"/>
        <w:rPr>
          <w:rFonts w:ascii="Arial" w:hAnsi="Arial" w:cs="Arial"/>
          <w:u w:val="single"/>
        </w:rPr>
      </w:pPr>
      <w:r>
        <w:rPr>
          <w:rFonts w:cs="Arial" w:ascii="Arial" w:hAnsi="Arial"/>
          <w:u w:val="single"/>
        </w:rPr>
      </w:r>
    </w:p>
    <w:p>
      <w:pPr>
        <w:pStyle w:val="TitleStyle"/>
        <w:rPr>
          <w:rFonts w:ascii="Arial" w:hAnsi="Arial" w:cs="Arial"/>
          <w:u w:val="single"/>
        </w:rPr>
      </w:pPr>
      <w:r>
        <w:rPr>
          <w:rFonts w:cs="Arial" w:ascii="Arial" w:hAnsi="Arial"/>
          <w:u w:val="single"/>
        </w:rPr>
        <w:t>certificate of service</w:t>
      </w:r>
    </w:p>
    <w:p>
      <w:pPr>
        <w:pStyle w:val="TitleStyle"/>
        <w:rPr>
          <w:rFonts w:ascii="Arial" w:hAnsi="Arial" w:cs="Arial"/>
          <w:u w:val="single"/>
        </w:rPr>
      </w:pPr>
      <w:r>
        <w:rPr>
          <w:rFonts w:cs="Arial" w:ascii="Arial" w:hAnsi="Arial"/>
          <w:u w:val="single"/>
        </w:rPr>
      </w:r>
    </w:p>
    <w:p>
      <w:pPr>
        <w:pStyle w:val="BodyTextStyle"/>
        <w:rPr/>
      </w:pPr>
      <w:r>
        <w:rPr/>
        <w:t>I hereby certify that I have served a copy of the foregoing document</w:t>
      </w:r>
      <w:r>
        <w:rPr>
          <w:caps/>
        </w:rPr>
        <w:t xml:space="preserve"> </w:t>
      </w:r>
      <w:r>
        <w:rPr/>
        <w:t>by first class United States mail, postage prepaid, upon each person designated on the official service list compiled by the Secretary in this proceeding.</w:t>
      </w:r>
    </w:p>
    <w:p>
      <w:pPr>
        <w:pStyle w:val="BodyText"/>
        <w:rPr>
          <w:rFonts w:ascii="Arial" w:hAnsi="Arial" w:cs="Arial"/>
          <w:caps/>
        </w:rPr>
      </w:pPr>
      <w:r>
        <w:rPr>
          <w:rFonts w:cs="Arial" w:ascii="Arial" w:hAnsi="Arial"/>
          <w:caps/>
        </w:rPr>
      </w:r>
    </w:p>
    <w:p>
      <w:pPr>
        <w:pStyle w:val="BodyText"/>
        <w:rPr/>
      </w:pPr>
      <w:r>
        <w:rPr>
          <w:rFonts w:cs="Arial" w:ascii="Arial" w:hAnsi="Arial"/>
          <w:caps/>
        </w:rPr>
        <w:t>d</w:t>
      </w:r>
      <w:r>
        <w:rPr>
          <w:rFonts w:cs="Arial" w:ascii="Arial" w:hAnsi="Arial"/>
        </w:rPr>
        <w:t>ated at Washington, D.C. this 21</w:t>
      </w:r>
      <w:r>
        <w:rPr>
          <w:rFonts w:cs="Arial" w:ascii="Arial" w:hAnsi="Arial"/>
          <w:vertAlign w:val="superscript"/>
        </w:rPr>
        <w:t>st</w:t>
      </w:r>
      <w:r>
        <w:rPr>
          <w:rFonts w:cs="Arial" w:ascii="Arial" w:hAnsi="Arial"/>
        </w:rPr>
        <w:t xml:space="preserve"> day of December,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SignatureBlock"/>
        <w:ind w:start="3600" w:end="0"/>
        <w:rPr>
          <w:rFonts w:ascii="Arial" w:hAnsi="Arial" w:cs="Arial"/>
        </w:rPr>
      </w:pPr>
      <w:r>
        <w:rPr>
          <w:rFonts w:cs="Arial" w:ascii="Arial" w:hAnsi="Arial"/>
        </w:rPr>
        <w:t>/s/_____________________________</w:t>
      </w:r>
    </w:p>
    <w:p>
      <w:pPr>
        <w:pStyle w:val="SignatureBlock"/>
        <w:ind w:start="3600" w:end="0"/>
        <w:rPr>
          <w:rFonts w:ascii="Arial" w:hAnsi="Arial" w:cs="Arial"/>
        </w:rPr>
      </w:pPr>
      <w:r>
        <w:rPr>
          <w:rFonts w:cs="Arial" w:ascii="Arial" w:hAnsi="Arial"/>
        </w:rPr>
        <w:t>Julie Simon</w:t>
      </w:r>
    </w:p>
    <w:p>
      <w:pPr>
        <w:pStyle w:val="BodyTextStyle"/>
        <w:rPr>
          <w:rFonts w:ascii="Arial" w:hAnsi="Arial" w:cs="Arial"/>
        </w:rPr>
      </w:pPr>
      <w:r>
        <w:rPr>
          <w:rFonts w:cs="Arial"/>
        </w:rPr>
      </w:r>
    </w:p>
    <w:p>
      <w:pPr>
        <w:pStyle w:val="BodyTextStyle"/>
        <w:rPr>
          <w:lang w:val="en-CA" w:eastAsia="en-CA"/>
        </w:rPr>
      </w:pPr>
      <w:r>
        <w:rPr>
          <w:lang w:val="en-CA" w:eastAsia="en-CA"/>
        </w:rPr>
        <mc:AlternateContent>
          <mc:Choice Requires="wps">
            <w:drawing>
              <wp:anchor behindDoc="0" distT="0" distB="0" distL="114935" distR="114935" simplePos="0" locked="0" layoutInCell="1" allowOverlap="1" relativeHeight="9">
                <wp:simplePos x="0" y="0"/>
                <wp:positionH relativeFrom="column">
                  <wp:posOffset>-822960</wp:posOffset>
                </wp:positionH>
                <wp:positionV relativeFrom="paragraph">
                  <wp:posOffset>635</wp:posOffset>
                </wp:positionV>
                <wp:extent cx="91440" cy="91440"/>
                <wp:effectExtent l="5080" t="5080" r="5080" b="5080"/>
                <wp:wrapNone/>
                <wp:docPr id="3"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85090"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85090" cy="16510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7</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7pt;height:13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7</w:t>
                    </w:r>
                    <w:r>
                      <w:rPr>
                        <w:rStyle w:val="PageNumber"/>
                        <w:rFonts w:cs="Arial" w:ascii="Arial" w:hAnsi="Arial"/>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2"/>
      </w:rPr>
    </w:pPr>
    <w:r>
      <w:rPr>
        <w:rFonts w:cs="Arial" w:ascii="Arial" w:hAnsi="Arial"/>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7155" cy="20955"/>
              <wp:effectExtent l="0" t="0" r="0" b="0"/>
              <wp:wrapSquare wrapText="bothSides"/>
              <wp:docPr id="4" name="Frame2"/>
              <a:graphic xmlns:a="http://schemas.openxmlformats.org/drawingml/2006/main">
                <a:graphicData uri="http://schemas.microsoft.com/office/word/2010/wordprocessingShape">
                  <wps:wsp>
                    <wps:cNvSpPr txBox="1"/>
                    <wps:spPr>
                      <a:xfrm>
                        <a:off x="0" y="0"/>
                        <a:ext cx="97155" cy="20955"/>
                      </a:xfrm>
                      <a:prstGeom prst="rect"/>
                      <a:solidFill>
                        <a:srgbClr val="FFFFFF">
                          <a:alpha val="0"/>
                        </a:srgbClr>
                      </a:solidFill>
                    </wps:spPr>
                    <wps:txbx>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7.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2"/>
      </w:rPr>
    </w:pPr>
    <w:r>
      <w:rPr>
        <w:rFonts w:cs="Arial" w:ascii="Arial" w:hAnsi="Arial"/>
        <w:sz w:val="1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The SeTrans participants currently include the City of Tallahassee, Dalton Utilities, Entergy Services, Inc. (acting as agent for Entergy Arkansas, Inc., Entergy Gulf States, Inc., Entergy Louisiana, Inc., Entergy Mississippi, Inc. and Entergy New Orleans, Inc.), Georgia Transmission Corporation, JEA, MEAG Power, South Carolina Public Service Authority, South Mississippi Electric Power Association and Southern Company Services, Inc. (acting as agent for Alabama Power Company, Georgia Power Company, Gulf Power Company, Mississippi Power Company and Savannah Electric and Power Company).</w:t>
      </w:r>
    </w:p>
  </w:footnote>
  <w:footnote w:id="3">
    <w:p>
      <w:pPr>
        <w:pStyle w:val="FootnoteText"/>
        <w:spacing w:before="0" w:after="120"/>
        <w:rPr/>
      </w:pPr>
      <w:r>
        <w:rPr>
          <w:rStyle w:val="FootnoteCharacters"/>
        </w:rPr>
        <w:footnoteRef/>
      </w:r>
      <w:r>
        <w:rPr/>
        <w:t xml:space="preserve"> </w:t>
      </w:r>
      <w:r>
        <w:rPr/>
        <w:t>EPSA is a party to each of the proceedings designated above, and participated in the Southeastern RTO mediation process.</w:t>
      </w:r>
    </w:p>
  </w:footnote>
  <w:footnote w:id="4">
    <w:p>
      <w:pPr>
        <w:pStyle w:val="FootnoteText"/>
        <w:spacing w:before="0" w:after="120"/>
        <w:rPr/>
      </w:pPr>
      <w:r>
        <w:rPr>
          <w:rStyle w:val="FootnoteCharacters"/>
        </w:rPr>
        <w:footnoteRef/>
      </w:r>
      <w:r>
        <w:rPr/>
        <w:t xml:space="preserve"> </w:t>
      </w:r>
      <w:r>
        <w:rPr/>
        <w:t>Entergy’s RTO plans remain, to put it charitably, in flux.  Entergy originally proposed to form a “binary” RTO in partnership with the Southwest Power Pool.  In the Southeast RTO mediation, Entergy abandoned the SPP in favor of the Collaborative Governance Model supported by GridSouth and GridFlorida.  Now Entergy apparently supports the SeTrans model that it spurned during the mediation.  EPSA remains concerned that SeTrans’ new scope may not survive until the next “update” to the Commission.</w:t>
      </w:r>
    </w:p>
  </w:footnote>
  <w:footnote w:id="5">
    <w:p>
      <w:pPr>
        <w:pStyle w:val="FootnoteText"/>
        <w:spacing w:before="0" w:after="120"/>
        <w:rPr/>
      </w:pPr>
      <w:r>
        <w:rPr>
          <w:rStyle w:val="FootnoteCharacters"/>
        </w:rPr>
        <w:footnoteRef/>
      </w:r>
      <w:r>
        <w:rPr/>
        <w:t xml:space="preserve"> </w:t>
      </w:r>
      <w:r>
        <w:rPr/>
        <w:t>See EPSA’s Comments in RT01-100-000 and Protests in RT01-77-000 and RT01-75-000.</w:t>
      </w:r>
    </w:p>
  </w:footnote>
  <w:footnote w:id="6">
    <w:p>
      <w:pPr>
        <w:pStyle w:val="FootnoteText"/>
        <w:spacing w:before="0" w:after="120"/>
        <w:rPr/>
      </w:pPr>
      <w:r>
        <w:rPr>
          <w:rStyle w:val="FootnoteCharacters"/>
        </w:rPr>
        <w:footnoteRef/>
      </w:r>
      <w:r>
        <w:rPr/>
        <w:t xml:space="preserve"> </w:t>
      </w:r>
      <w:r>
        <w:rPr/>
        <w:t>Supplemental Report at 11 (the System Administrator may be replaced “with relative ease”).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u w:val="none"/>
      </w:rPr>
    </w:lvl>
    <w:lvl w:ilvl="1">
      <w:start w:val="1"/>
      <w:pStyle w:val="Heading2"/>
      <w:numFmt w:val="upperLetter"/>
      <w:lvlText w:val="%2."/>
      <w:lvlJc w:val="start"/>
      <w:pPr>
        <w:tabs>
          <w:tab w:val="num" w:pos="1440"/>
        </w:tabs>
        <w:ind w:start="1440" w:hanging="720"/>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abstractNum w:abstractNumId="4">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5"/>
      <w:numFmt w:val="decimal"/>
      <w:lvlText w:val="%3."/>
      <w:lvlJc w:val="start"/>
      <w:pPr>
        <w:tabs>
          <w:tab w:val="num" w:pos="0"/>
        </w:tabs>
        <w:ind w:start="0" w:hanging="0"/>
      </w:pPr>
      <w:rPr>
        <w:b/>
      </w:r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start w:val="8"/>
      <w:numFmt w:val="decimal"/>
      <w:lvlText w:val="%1."/>
      <w:lvlJc w:val="start"/>
      <w:pPr>
        <w:tabs>
          <w:tab w:val="num" w:pos="0"/>
        </w:tabs>
        <w:ind w:start="0" w:hanging="0"/>
      </w:pPr>
      <w:rPr>
        <w:sz w:val="24"/>
        <w:b/>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Bell MT" w:hAnsi="Galliard;Bell MT" w:eastAsia="Times New Roman" w:cs="Galliard;Bell MT"/>
      <w:color w:val="auto"/>
      <w:sz w:val="24"/>
      <w:szCs w:val="20"/>
      <w:lang w:val="en-US" w:bidi="ar-SA" w:eastAsia="zh-CN"/>
    </w:rPr>
  </w:style>
  <w:style w:type="paragraph" w:styleId="Heading1">
    <w:name w:val="heading 1"/>
    <w:basedOn w:val="Normal"/>
    <w:next w:val="BodyText"/>
    <w:qFormat/>
    <w:pPr>
      <w:numPr>
        <w:ilvl w:val="0"/>
        <w:numId w:val="1"/>
      </w:numPr>
      <w:spacing w:lineRule="auto" w:line="240" w:before="0" w:after="240"/>
      <w:outlineLvl w:val="0"/>
    </w:pPr>
    <w:rPr>
      <w:rFonts w:ascii="Arial" w:hAnsi="Arial" w:cs="Arial"/>
      <w:b/>
      <w:caps/>
      <w:kern w:val="2"/>
    </w:rPr>
  </w:style>
  <w:style w:type="paragraph" w:styleId="Heading2">
    <w:name w:val="heading 2"/>
    <w:basedOn w:val="Normal"/>
    <w:next w:val="BodyText"/>
    <w:qFormat/>
    <w:pPr>
      <w:numPr>
        <w:ilvl w:val="1"/>
        <w:numId w:val="1"/>
      </w:numPr>
      <w:spacing w:lineRule="auto" w:line="240" w:before="0" w:after="240"/>
      <w:outlineLvl w:val="1"/>
    </w:pPr>
    <w:rPr>
      <w:rFonts w:ascii="Arial" w:hAnsi="Arial" w:cs="Arial"/>
      <w:b/>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1z0">
    <w:name w:val="WW8Num1z0"/>
    <w:qFormat/>
    <w:rPr>
      <w:rFonts w:ascii="Times New Roman" w:hAnsi="Times New Roman" w:cs="Times New Roman"/>
      <w:b/>
      <w:sz w:val="24"/>
    </w:rPr>
  </w:style>
  <w:style w:type="character" w:styleId="WW8Num2z0">
    <w:name w:val="WW8Num2z0"/>
    <w:qFormat/>
    <w:rPr>
      <w:rFonts w:ascii="Times New Roman" w:hAnsi="Times New Roman" w:cs="Times New Roman"/>
      <w:b/>
      <w:sz w:val="24"/>
    </w:rPr>
  </w:style>
  <w:style w:type="character" w:styleId="WW8Num3z2">
    <w:name w:val="WW8Num3z2"/>
    <w:qFormat/>
    <w:rPr>
      <w:b/>
    </w:rPr>
  </w:style>
  <w:style w:type="character" w:styleId="WW8Num4z0">
    <w:name w:val="WW8Num4z0"/>
    <w:qFormat/>
    <w:rPr>
      <w:b/>
    </w:rPr>
  </w:style>
  <w:style w:type="character" w:styleId="WW8Num5z0">
    <w:name w:val="WW8Num5z0"/>
    <w:qFormat/>
    <w:rPr>
      <w:rFonts w:ascii="Times New Roman" w:hAnsi="Times New Roman" w:cs="Times New Roman"/>
      <w:b/>
      <w:sz w:val="24"/>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9z0">
    <w:name w:val="WW8Num9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auto" w:line="480"/>
      <w:ind w:firstLine="720" w:start="0" w:end="0"/>
    </w:pPr>
    <w:rPr>
      <w:rFonts w:ascii="Arial" w:hAnsi="Arial" w:cs="Arial"/>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rFonts w:ascii="Arial" w:hAnsi="Arial" w:cs="Arial"/>
      <w:sz w:val="20"/>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TitleStyle">
    <w:name w:val="Title Style"/>
    <w:basedOn w:val="Normal"/>
    <w:qFormat/>
    <w:pPr>
      <w:spacing w:lineRule="auto" w:line="240"/>
      <w:jc w:val="center"/>
    </w:pPr>
    <w:rPr>
      <w:b/>
      <w:caps/>
    </w:rPr>
  </w:style>
  <w:style w:type="paragraph" w:styleId="Level1">
    <w:name w:val="Level 1"/>
    <w:basedOn w:val="Normal"/>
    <w:qFormat/>
    <w:pPr>
      <w:widowControl w:val="false"/>
      <w:numPr>
        <w:ilvl w:val="0"/>
        <w:numId w:val="5"/>
      </w:numPr>
      <w:spacing w:lineRule="auto" w:line="240"/>
      <w:ind w:hanging="720" w:start="2160" w:end="0"/>
      <w:outlineLvl w:val="0"/>
    </w:pPr>
    <w:rPr>
      <w:rFonts w:ascii="Times New Roman" w:hAnsi="Times New Roman" w:cs="Times New Roman"/>
    </w:rPr>
  </w:style>
  <w:style w:type="paragraph" w:styleId="Level2">
    <w:name w:val="Level 2"/>
    <w:basedOn w:val="Normal"/>
    <w:qFormat/>
    <w:pPr>
      <w:widowControl w:val="false"/>
      <w:spacing w:lineRule="auto" w:line="240"/>
      <w:outlineLvl w:val="1"/>
    </w:pPr>
    <w:rPr>
      <w:rFonts w:ascii="Times New Roman" w:hAnsi="Times New Roman" w:cs="Times New Roman"/>
    </w:rPr>
  </w:style>
  <w:style w:type="paragraph" w:styleId="Level3">
    <w:name w:val="Level 3"/>
    <w:basedOn w:val="Normal"/>
    <w:qFormat/>
    <w:pPr>
      <w:widowControl w:val="false"/>
      <w:numPr>
        <w:ilvl w:val="0"/>
        <w:numId w:val="4"/>
      </w:numPr>
      <w:spacing w:lineRule="auto" w:line="240"/>
      <w:ind w:hanging="720" w:start="2160" w:end="0"/>
      <w:outlineLvl w:val="2"/>
    </w:pPr>
    <w:rPr>
      <w:rFonts w:ascii="Times New Roman" w:hAnsi="Times New Roman" w:cs="Times New Roman"/>
    </w:rPr>
  </w:style>
  <w:style w:type="paragraph" w:styleId="BodyTextIndent">
    <w:name w:val="Body Text Indent"/>
    <w:basedOn w:val="Normal"/>
    <w:pPr>
      <w:spacing w:lineRule="auto" w:line="480"/>
      <w:ind w:firstLine="720" w:start="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2001-12-19T22:49:00Z</dcterms:created>
  <dc:creator>DSMO</dc:creator>
  <dc:description/>
  <dc:language>en-CA</dc:language>
  <cp:lastModifiedBy>Valued Gateway Client</cp:lastModifiedBy>
  <cp:lastPrinted>2001-12-21T12:08:00Z</cp:lastPrinted>
  <dcterms:modified xsi:type="dcterms:W3CDTF">2001-12-21T15:06:00Z</dcterms:modified>
  <cp:revision>10</cp:revision>
  <dc:subject/>
  <dc:title>EPSA Protest to SeTrans Report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T_T101!.DOC</vt:lpwstr>
  </property>
  <property fmtid="{D5CDD505-2E9C-101B-9397-08002B2CF9AE}" pid="3" name="DOCSDocVer">
    <vt:lpwstr>1</vt:lpwstr>
  </property>
  <property fmtid="{D5CDD505-2E9C-101B-9397-08002B2CF9AE}" pid="4" name="DOCSNumber">
    <vt:lpwstr>1385173</vt:lpwstr>
  </property>
</Properties>
</file>