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bar"/>
        <w:rPr>
          <w:rFonts w:ascii="Times New Roman" w:hAnsi="Times New Roman" w:cs="Times New Roman"/>
          <w:sz w:val="24"/>
        </w:rPr>
      </w:pPr>
      <w:r>
        <w:rPr>
          <w:rFonts w:cs="Times New Roman" w:ascii="Times New Roman" w:hAnsi="Times New Roman"/>
          <w:sz w:val="24"/>
        </w:rPr>
        <w:t xml:space="preserve">BEFORE THE PUBLIC UTILITIES COMMISSION OF </w:t>
      </w:r>
    </w:p>
    <w:p>
      <w:pPr>
        <w:pStyle w:val="titlebar"/>
        <w:rPr>
          <w:rFonts w:ascii="Times New Roman" w:hAnsi="Times New Roman" w:cs="Times New Roman"/>
          <w:sz w:val="24"/>
        </w:rPr>
      </w:pPr>
      <w:r>
        <w:rPr>
          <w:rFonts w:cs="Times New Roman" w:ascii="Times New Roman" w:hAnsi="Times New Roman"/>
          <w:sz w:val="24"/>
        </w:rPr>
        <w:t>THE STATE OF CALIFORNIA</w:t>
      </w:r>
    </w:p>
    <w:p>
      <w:pPr>
        <w:pStyle w:val="titlebar"/>
        <w:rPr>
          <w:rFonts w:ascii="Times New Roman" w:hAnsi="Times New Roman" w:cs="Times New Roman"/>
          <w:sz w:val="24"/>
        </w:rPr>
      </w:pPr>
      <w:r>
        <w:rPr>
          <w:rFonts w:cs="Times New Roman" w:ascii="Times New Roman" w:hAnsi="Times New Roman"/>
          <w:sz w:val="24"/>
        </w:rPr>
      </w:r>
    </w:p>
    <w:p>
      <w:pPr>
        <w:pStyle w:val="titlebar"/>
        <w:rPr>
          <w:rFonts w:ascii="Times New Roman" w:hAnsi="Times New Roman" w:cs="Times New Roman"/>
          <w:sz w:val="24"/>
        </w:rPr>
      </w:pPr>
      <w:r>
        <w:rPr>
          <w:rFonts w:cs="Times New Roman" w:ascii="Times New Roman" w:hAnsi="Times New Roman"/>
          <w:sz w:val="24"/>
        </w:rPr>
      </w:r>
    </w:p>
    <w:tbl>
      <w:tblPr>
        <w:tblW w:w="9558" w:type="dxa"/>
        <w:jc w:val="start"/>
        <w:tblInd w:w="0" w:type="dxa"/>
        <w:tblLayout w:type="fixed"/>
        <w:tblCellMar>
          <w:top w:w="0" w:type="dxa"/>
          <w:start w:w="108" w:type="dxa"/>
          <w:bottom w:w="0" w:type="dxa"/>
          <w:end w:w="108" w:type="dxa"/>
        </w:tblCellMar>
      </w:tblPr>
      <w:tblGrid>
        <w:gridCol w:w="5958"/>
        <w:gridCol w:w="3600"/>
      </w:tblGrid>
      <w:tr>
        <w:trPr/>
        <w:tc>
          <w:tcPr>
            <w:tcW w:w="5958" w:type="dxa"/>
            <w:tcBorders>
              <w:end w:val="single" w:sz="6" w:space="0" w:color="000000"/>
            </w:tcBorders>
          </w:tcPr>
          <w:p>
            <w:pPr>
              <w:pStyle w:val="Normal"/>
              <w:tabs>
                <w:tab w:val="clear" w:pos="720"/>
                <w:tab w:val="left" w:pos="1440" w:leader="none"/>
                <w:tab w:val="left" w:pos="3600" w:leader="none"/>
              </w:tabs>
              <w:rPr>
                <w:sz w:val="24"/>
              </w:rPr>
            </w:pPr>
            <w:r>
              <w:rPr>
                <w:sz w:val="24"/>
              </w:rPr>
              <w:t>Application of Pacific Gas and Electric Company for verification, consolidation, and approval of costs and revenues in the transition revenue account.</w:t>
            </w:r>
          </w:p>
          <w:p>
            <w:pPr>
              <w:pStyle w:val="Normal"/>
              <w:rPr>
                <w:sz w:val="24"/>
              </w:rPr>
            </w:pPr>
            <w:r>
              <w:rPr>
                <w:sz w:val="24"/>
              </w:rPr>
            </w:r>
          </w:p>
        </w:tc>
        <w:tc>
          <w:tcPr>
            <w:tcW w:w="3600" w:type="dxa"/>
            <w:tcBorders/>
          </w:tcPr>
          <w:p>
            <w:pPr>
              <w:pStyle w:val="Normal"/>
              <w:snapToGrid w:val="false"/>
              <w:jc w:val="center"/>
              <w:rPr>
                <w:sz w:val="24"/>
              </w:rPr>
            </w:pPr>
            <w:r>
              <w:rPr>
                <w:sz w:val="24"/>
              </w:rPr>
            </w:r>
          </w:p>
          <w:p>
            <w:pPr>
              <w:pStyle w:val="Normal"/>
              <w:jc w:val="center"/>
              <w:rPr>
                <w:sz w:val="24"/>
              </w:rPr>
            </w:pPr>
            <w:r>
              <w:rPr>
                <w:sz w:val="24"/>
              </w:rPr>
              <w:t>Application 98-07-003</w:t>
            </w:r>
          </w:p>
          <w:p>
            <w:pPr>
              <w:pStyle w:val="BodyTextIndent"/>
              <w:rPr/>
            </w:pPr>
            <w:r>
              <w:rPr/>
              <w:t xml:space="preserve">          </w:t>
            </w:r>
            <w:r>
              <w:rPr/>
              <w:t>(Implementation of Suspension of Direct Access)</w:t>
            </w:r>
          </w:p>
          <w:p>
            <w:pPr>
              <w:pStyle w:val="Normal"/>
              <w:jc w:val="center"/>
              <w:rPr>
                <w:sz w:val="24"/>
              </w:rPr>
            </w:pPr>
            <w:r>
              <w:rPr>
                <w:sz w:val="24"/>
              </w:rPr>
            </w:r>
          </w:p>
        </w:tc>
      </w:tr>
      <w:tr>
        <w:trPr/>
        <w:tc>
          <w:tcPr>
            <w:tcW w:w="5958" w:type="dxa"/>
            <w:tcBorders>
              <w:bottom w:val="single" w:sz="6" w:space="0" w:color="000000"/>
              <w:end w:val="single" w:sz="6" w:space="0" w:color="000000"/>
            </w:tcBorders>
          </w:tcPr>
          <w:p>
            <w:pPr>
              <w:pStyle w:val="Normal"/>
              <w:tabs>
                <w:tab w:val="clear" w:pos="720"/>
                <w:tab w:val="left" w:pos="1440" w:leader="none"/>
                <w:tab w:val="left" w:pos="3600" w:leader="none"/>
              </w:tabs>
              <w:snapToGrid w:val="false"/>
              <w:rPr>
                <w:sz w:val="24"/>
              </w:rPr>
            </w:pPr>
            <w:r>
              <w:rPr>
                <w:sz w:val="24"/>
              </w:rPr>
            </w:r>
          </w:p>
        </w:tc>
        <w:tc>
          <w:tcPr>
            <w:tcW w:w="3600" w:type="dxa"/>
            <w:tcBorders/>
          </w:tcPr>
          <w:p>
            <w:pPr>
              <w:pStyle w:val="Normal"/>
              <w:snapToGrid w:val="false"/>
              <w:rPr>
                <w:sz w:val="24"/>
              </w:rPr>
            </w:pPr>
            <w:r>
              <w:rPr>
                <w:sz w:val="24"/>
              </w:rPr>
            </w:r>
          </w:p>
        </w:tc>
      </w:tr>
    </w:tbl>
    <w:p>
      <w:pPr>
        <w:pStyle w:val="Normal"/>
        <w:rPr>
          <w:sz w:val="24"/>
        </w:rPr>
      </w:pPr>
      <w:r>
        <w:rPr>
          <w:sz w:val="24"/>
        </w:rPr>
      </w:r>
    </w:p>
    <w:p>
      <w:pPr>
        <w:pStyle w:val="Normal"/>
        <w:rPr>
          <w:sz w:val="24"/>
        </w:rPr>
      </w:pPr>
      <w:r>
        <w:rPr>
          <w:sz w:val="24"/>
        </w:rPr>
      </w:r>
    </w:p>
    <w:p>
      <w:pPr>
        <w:pStyle w:val="Heading1"/>
        <w:ind w:hanging="0" w:start="0"/>
        <w:rPr/>
      </w:pPr>
      <w:r>
        <w:rPr/>
        <w:t>OPENING COMMENTS OF</w:t>
      </w:r>
    </w:p>
    <w:p>
      <w:pPr>
        <w:pStyle w:val="Normal"/>
        <w:jc w:val="center"/>
        <w:rPr>
          <w:b/>
          <w:bCs/>
          <w:sz w:val="24"/>
        </w:rPr>
      </w:pPr>
      <w:r>
        <w:rPr>
          <w:b/>
          <w:bCs/>
          <w:sz w:val="24"/>
        </w:rPr>
        <w:t>SEMPRA ENERGY SOLUTIONS</w:t>
      </w:r>
    </w:p>
    <w:p>
      <w:pPr>
        <w:pStyle w:val="Normal"/>
        <w:jc w:val="center"/>
        <w:rPr>
          <w:b/>
          <w:bCs/>
          <w:sz w:val="24"/>
        </w:rPr>
      </w:pPr>
      <w:r>
        <w:rPr>
          <w:b/>
          <w:bCs/>
          <w:sz w:val="24"/>
        </w:rPr>
        <w:t>ON QUESTIONS IN ASSIGNED COMMISSIONER WOOD’S</w:t>
      </w:r>
    </w:p>
    <w:p>
      <w:pPr>
        <w:pStyle w:val="Normal"/>
        <w:jc w:val="center"/>
        <w:rPr>
          <w:b/>
          <w:bCs/>
          <w:sz w:val="24"/>
        </w:rPr>
      </w:pPr>
      <w:r>
        <w:rPr>
          <w:b/>
          <w:bCs/>
          <w:sz w:val="24"/>
        </w:rPr>
        <w:t>RULING OF OCTOBER 23, 2001</w:t>
      </w:r>
    </w:p>
    <w:p>
      <w:pPr>
        <w:pStyle w:val="Normal"/>
        <w:jc w:val="center"/>
        <w:rPr>
          <w:b/>
          <w:bCs/>
          <w:sz w:val="24"/>
        </w:rPr>
      </w:pPr>
      <w:r>
        <w:rPr>
          <w:b/>
          <w:bCs/>
          <w:sz w:val="24"/>
        </w:rPr>
      </w:r>
    </w:p>
    <w:p>
      <w:pPr>
        <w:pStyle w:val="titlebar"/>
        <w:rPr>
          <w:rFonts w:ascii="Times New Roman" w:hAnsi="Times New Roman" w:cs="Times New Roman"/>
          <w:b w:val="false"/>
          <w:bCs/>
          <w:sz w:val="24"/>
        </w:rPr>
      </w:pPr>
      <w:r>
        <w:rPr>
          <w:rFonts w:cs="Times New Roman" w:ascii="Times New Roman" w:hAnsi="Times New Roman"/>
          <w:b w:val="false"/>
          <w:bCs/>
          <w:sz w:val="24"/>
        </w:rPr>
      </w:r>
    </w:p>
    <w:p>
      <w:pPr>
        <w:pStyle w:val="titlebar"/>
        <w:rPr>
          <w:rFonts w:ascii="Times New Roman" w:hAnsi="Times New Roman" w:cs="Times New Roman"/>
          <w:sz w:val="24"/>
        </w:rPr>
      </w:pPr>
      <w:r>
        <w:rPr>
          <w:rFonts w:cs="Times New Roman" w:ascii="Times New Roman" w:hAnsi="Times New Roman"/>
          <w:sz w:val="24"/>
        </w:rPr>
      </w:r>
    </w:p>
    <w:p>
      <w:pPr>
        <w:pStyle w:val="titlebar"/>
        <w:rPr>
          <w:rFonts w:ascii="Times New Roman" w:hAnsi="Times New Roman" w:cs="Times New Roman"/>
          <w:sz w:val="24"/>
        </w:rPr>
      </w:pPr>
      <w:r>
        <w:rPr>
          <w:rFonts w:cs="Times New Roman" w:ascii="Times New Roman" w:hAnsi="Times New Roman"/>
          <w:sz w:val="24"/>
        </w:rPr>
      </w:r>
    </w:p>
    <w:p>
      <w:pPr>
        <w:pStyle w:val="titlebar"/>
        <w:rPr>
          <w:rFonts w:ascii="Times New Roman" w:hAnsi="Times New Roman" w:cs="Times New Roman"/>
          <w:sz w:val="24"/>
        </w:rPr>
      </w:pPr>
      <w:r>
        <w:rPr>
          <w:rFonts w:cs="Times New Roman" w:ascii="Times New Roman" w:hAnsi="Times New Roman"/>
          <w:sz w:val="24"/>
        </w:rPr>
      </w:r>
    </w:p>
    <w:p>
      <w:pPr>
        <w:pStyle w:val="titlebar"/>
        <w:rPr>
          <w:rFonts w:ascii="Times New Roman" w:hAnsi="Times New Roman" w:cs="Times New Roman"/>
          <w:sz w:val="24"/>
        </w:rPr>
      </w:pPr>
      <w:r>
        <w:rPr>
          <w:rFonts w:cs="Times New Roman" w:ascii="Times New Roman" w:hAnsi="Times New Roman"/>
          <w:sz w:val="24"/>
        </w:rPr>
      </w:r>
    </w:p>
    <w:p>
      <w:pPr>
        <w:pStyle w:val="titlebar"/>
        <w:rPr>
          <w:rFonts w:ascii="Times New Roman" w:hAnsi="Times New Roman" w:cs="Times New Roman"/>
          <w:sz w:val="24"/>
        </w:rPr>
      </w:pPr>
      <w:r>
        <w:rPr>
          <w:rFonts w:cs="Times New Roman" w:ascii="Times New Roman" w:hAnsi="Times New Roman"/>
          <w:sz w:val="24"/>
        </w:rPr>
      </w:r>
    </w:p>
    <w:p>
      <w:pPr>
        <w:pStyle w:val="titlebar"/>
        <w:rPr>
          <w:rFonts w:ascii="Times New Roman" w:hAnsi="Times New Roman" w:cs="Times New Roman"/>
          <w:sz w:val="24"/>
        </w:rPr>
      </w:pPr>
      <w:r>
        <w:rPr>
          <w:rFonts w:cs="Times New Roman" w:ascii="Times New Roman" w:hAnsi="Times New Roman"/>
          <w:sz w:val="24"/>
        </w:rPr>
      </w:r>
    </w:p>
    <w:p>
      <w:pPr>
        <w:pStyle w:val="titlebar"/>
        <w:rPr>
          <w:rFonts w:ascii="Times New Roman" w:hAnsi="Times New Roman" w:cs="Times New Roman"/>
          <w:sz w:val="24"/>
        </w:rPr>
      </w:pPr>
      <w:r>
        <w:rPr>
          <w:rFonts w:cs="Times New Roman" w:ascii="Times New Roman" w:hAnsi="Times New Roman"/>
          <w:sz w:val="24"/>
        </w:rPr>
      </w:r>
    </w:p>
    <w:p>
      <w:pPr>
        <w:pStyle w:val="titlebar"/>
        <w:rPr>
          <w:rFonts w:ascii="Times New Roman" w:hAnsi="Times New Roman" w:cs="Times New Roman"/>
          <w:sz w:val="24"/>
        </w:rPr>
      </w:pPr>
      <w:r>
        <w:rPr>
          <w:rFonts w:cs="Times New Roman" w:ascii="Times New Roman" w:hAnsi="Times New Roman"/>
          <w:sz w:val="24"/>
        </w:rPr>
      </w:r>
    </w:p>
    <w:p>
      <w:pPr>
        <w:pStyle w:val="titlebar"/>
        <w:rPr>
          <w:rFonts w:ascii="Times New Roman" w:hAnsi="Times New Roman" w:cs="Times New Roman"/>
          <w:sz w:val="24"/>
        </w:rPr>
      </w:pPr>
      <w:r>
        <w:rPr>
          <w:rFonts w:cs="Times New Roman" w:ascii="Times New Roman" w:hAnsi="Times New Roman"/>
          <w:sz w:val="24"/>
        </w:rPr>
      </w:r>
    </w:p>
    <w:p>
      <w:pPr>
        <w:pStyle w:val="titlebar"/>
        <w:rPr>
          <w:rFonts w:ascii="Times New Roman" w:hAnsi="Times New Roman" w:cs="Times New Roman"/>
          <w:sz w:val="24"/>
        </w:rPr>
      </w:pPr>
      <w:r>
        <w:rPr>
          <w:rFonts w:cs="Times New Roman" w:ascii="Times New Roman" w:hAnsi="Times New Roman"/>
          <w:sz w:val="24"/>
        </w:rPr>
      </w:r>
    </w:p>
    <w:p>
      <w:pPr>
        <w:pStyle w:val="titlebar"/>
        <w:rPr>
          <w:rFonts w:ascii="Times New Roman" w:hAnsi="Times New Roman" w:cs="Times New Roman"/>
          <w:sz w:val="24"/>
        </w:rPr>
      </w:pPr>
      <w:r>
        <w:rPr>
          <w:rFonts w:cs="Times New Roman" w:ascii="Times New Roman" w:hAnsi="Times New Roman"/>
          <w:sz w:val="24"/>
        </w:rPr>
      </w:r>
    </w:p>
    <w:p>
      <w:pPr>
        <w:pStyle w:val="titlebar"/>
        <w:rPr>
          <w:rFonts w:ascii="Times New Roman" w:hAnsi="Times New Roman" w:cs="Times New Roman"/>
          <w:sz w:val="24"/>
        </w:rPr>
      </w:pPr>
      <w:r>
        <w:rPr>
          <w:rFonts w:cs="Times New Roman" w:ascii="Times New Roman" w:hAnsi="Times New Roman"/>
          <w:sz w:val="24"/>
        </w:rPr>
      </w:r>
    </w:p>
    <w:p>
      <w:pPr>
        <w:pStyle w:val="titlebar"/>
        <w:rPr>
          <w:rFonts w:ascii="Times New Roman" w:hAnsi="Times New Roman" w:cs="Times New Roman"/>
          <w:sz w:val="24"/>
        </w:rPr>
      </w:pPr>
      <w:r>
        <w:rPr>
          <w:rFonts w:cs="Times New Roman" w:ascii="Times New Roman" w:hAnsi="Times New Roman"/>
          <w:sz w:val="24"/>
        </w:rPr>
      </w:r>
    </w:p>
    <w:p>
      <w:pPr>
        <w:pStyle w:val="titlebar"/>
        <w:rPr>
          <w:rFonts w:ascii="Times New Roman" w:hAnsi="Times New Roman" w:cs="Times New Roman"/>
          <w:sz w:val="24"/>
        </w:rPr>
      </w:pPr>
      <w:r>
        <w:rPr>
          <w:rFonts w:cs="Times New Roman" w:ascii="Times New Roman" w:hAnsi="Times New Roman"/>
          <w:sz w:val="24"/>
        </w:rPr>
      </w:r>
    </w:p>
    <w:p>
      <w:pPr>
        <w:pStyle w:val="titlebar"/>
        <w:rPr>
          <w:rFonts w:ascii="Times New Roman" w:hAnsi="Times New Roman" w:cs="Times New Roman"/>
          <w:sz w:val="24"/>
        </w:rPr>
      </w:pPr>
      <w:r>
        <w:rPr>
          <w:rFonts w:cs="Times New Roman" w:ascii="Times New Roman" w:hAnsi="Times New Roman"/>
          <w:sz w:val="24"/>
        </w:rPr>
      </w:r>
    </w:p>
    <w:p>
      <w:pPr>
        <w:pStyle w:val="titlebar"/>
        <w:rPr>
          <w:rFonts w:ascii="Times New Roman" w:hAnsi="Times New Roman" w:cs="Times New Roman"/>
          <w:sz w:val="24"/>
        </w:rPr>
      </w:pPr>
      <w:r>
        <w:rPr>
          <w:rFonts w:cs="Times New Roman" w:ascii="Times New Roman" w:hAnsi="Times New Roman"/>
          <w:sz w:val="24"/>
        </w:rPr>
      </w:r>
    </w:p>
    <w:p>
      <w:pPr>
        <w:pStyle w:val="Normal"/>
        <w:rPr>
          <w:sz w:val="24"/>
        </w:rPr>
      </w:pPr>
      <w:r>
        <w:rPr>
          <w:sz w:val="24"/>
        </w:rPr>
        <w:tab/>
        <w:tab/>
        <w:tab/>
        <w:tab/>
        <w:tab/>
        <w:t>Glen J. Sullivan</w:t>
      </w:r>
    </w:p>
    <w:p>
      <w:pPr>
        <w:pStyle w:val="Normal"/>
        <w:rPr>
          <w:sz w:val="24"/>
        </w:rPr>
      </w:pPr>
      <w:r>
        <w:rPr>
          <w:sz w:val="24"/>
        </w:rPr>
        <w:tab/>
        <w:tab/>
        <w:tab/>
        <w:tab/>
        <w:tab/>
        <w:t>101 Ash Street</w:t>
      </w:r>
    </w:p>
    <w:p>
      <w:pPr>
        <w:pStyle w:val="Normal"/>
        <w:rPr>
          <w:sz w:val="24"/>
        </w:rPr>
      </w:pPr>
      <w:r>
        <w:rPr>
          <w:sz w:val="24"/>
        </w:rPr>
        <w:tab/>
        <w:tab/>
        <w:tab/>
        <w:tab/>
        <w:tab/>
        <w:t>San Diego, CA  92101</w:t>
      </w:r>
    </w:p>
    <w:p>
      <w:pPr>
        <w:pStyle w:val="Heading2"/>
        <w:ind w:hanging="0" w:start="0"/>
        <w:rPr/>
      </w:pPr>
      <w:r>
        <w:rPr/>
        <w:tab/>
        <w:tab/>
        <w:tab/>
        <w:tab/>
        <w:tab/>
        <w:t>Telephone:  (619) 699-5162</w:t>
      </w:r>
    </w:p>
    <w:p>
      <w:pPr>
        <w:pStyle w:val="Normal"/>
        <w:rPr>
          <w:sz w:val="24"/>
        </w:rPr>
      </w:pPr>
      <w:r>
        <w:rPr>
          <w:sz w:val="24"/>
        </w:rPr>
        <w:tab/>
        <w:tab/>
        <w:tab/>
        <w:tab/>
        <w:tab/>
        <w:t>Fax:  (619) 699-5027</w:t>
      </w:r>
    </w:p>
    <w:p>
      <w:pPr>
        <w:pStyle w:val="Normal"/>
        <w:rPr>
          <w:sz w:val="24"/>
        </w:rPr>
      </w:pPr>
      <w:r>
        <w:rPr>
          <w:sz w:val="24"/>
        </w:rPr>
        <w:tab/>
        <w:tab/>
        <w:tab/>
        <w:tab/>
        <w:tab/>
        <w:t xml:space="preserve">Email:  </w:t>
      </w:r>
      <w:hyperlink r:id="rId2">
        <w:r>
          <w:rPr>
            <w:rStyle w:val="Hyperlink"/>
          </w:rPr>
          <w:t>gsullivan@sempra.com</w:t>
        </w:r>
      </w:hyperlink>
    </w:p>
    <w:p>
      <w:pPr>
        <w:pStyle w:val="Normal"/>
        <w:rPr>
          <w:sz w:val="24"/>
        </w:rPr>
      </w:pPr>
      <w:r>
        <w:rPr>
          <w:sz w:val="24"/>
        </w:rPr>
      </w:r>
    </w:p>
    <w:p>
      <w:pPr>
        <w:pStyle w:val="Normal"/>
        <w:rPr/>
      </w:pPr>
      <w:r>
        <w:rPr/>
        <w:tab/>
        <w:tab/>
        <w:tab/>
        <w:tab/>
        <w:tab/>
      </w:r>
      <w:r>
        <w:rPr>
          <w:sz w:val="24"/>
        </w:rPr>
        <w:t>Attorney for Sempra Energy Solutions</w:t>
      </w:r>
    </w:p>
    <w:p>
      <w:pPr>
        <w:pStyle w:val="Normal"/>
        <w:rPr>
          <w:sz w:val="24"/>
        </w:rPr>
      </w:pPr>
      <w:r>
        <w:rPr>
          <w:sz w:val="24"/>
        </w:rPr>
      </w:r>
    </w:p>
    <w:p>
      <w:pPr>
        <w:pStyle w:val="Normal"/>
        <w:rPr>
          <w:sz w:val="24"/>
        </w:rPr>
      </w:pPr>
      <w:r>
        <w:rPr>
          <w:sz w:val="24"/>
        </w:rPr>
        <w:t>November 2, 2001</w:t>
      </w:r>
    </w:p>
    <w:p>
      <w:pPr>
        <w:sectPr>
          <w:footerReference w:type="default" r:id="rId3"/>
          <w:footerReference w:type="first" r:id="rId4"/>
          <w:type w:val="nextPage"/>
          <w:pgSz w:w="12240" w:h="15840"/>
          <w:pgMar w:left="1800" w:right="1800" w:gutter="0" w:header="0" w:top="1440" w:footer="720" w:bottom="1440"/>
          <w:pgNumType w:fmt="decimal"/>
          <w:formProt w:val="false"/>
          <w:titlePg/>
          <w:textDirection w:val="lrTb"/>
          <w:docGrid w:type="default" w:linePitch="360" w:charSpace="0"/>
        </w:sectPr>
        <w:pStyle w:val="titlebar"/>
        <w:jc w:val="start"/>
        <w:rPr>
          <w:rFonts w:ascii="Times New Roman" w:hAnsi="Times New Roman" w:cs="Times New Roman"/>
          <w:sz w:val="24"/>
        </w:rPr>
      </w:pPr>
      <w:r>
        <w:rPr>
          <w:rFonts w:cs="Times New Roman" w:ascii="Times New Roman" w:hAnsi="Times New Roman"/>
          <w:sz w:val="24"/>
        </w:rPr>
      </w:r>
    </w:p>
    <w:p>
      <w:pPr>
        <w:pStyle w:val="titlebar"/>
        <w:rPr>
          <w:rFonts w:ascii="Times New Roman" w:hAnsi="Times New Roman" w:cs="Times New Roman"/>
          <w:sz w:val="24"/>
        </w:rPr>
      </w:pPr>
      <w:r>
        <w:rPr>
          <w:rFonts w:cs="Times New Roman" w:ascii="Times New Roman" w:hAnsi="Times New Roman"/>
          <w:sz w:val="24"/>
        </w:rPr>
        <w:t xml:space="preserve">BEFORE THE PUBLIC UTILITIES COMMISSION OF </w:t>
      </w:r>
    </w:p>
    <w:p>
      <w:pPr>
        <w:pStyle w:val="titlebar"/>
        <w:rPr>
          <w:rFonts w:ascii="Times New Roman" w:hAnsi="Times New Roman" w:cs="Times New Roman"/>
          <w:sz w:val="24"/>
        </w:rPr>
      </w:pPr>
      <w:r>
        <w:rPr>
          <w:rFonts w:cs="Times New Roman" w:ascii="Times New Roman" w:hAnsi="Times New Roman"/>
          <w:sz w:val="24"/>
        </w:rPr>
        <w:t>THE STATE OF CALIFORNIA</w:t>
      </w:r>
    </w:p>
    <w:p>
      <w:pPr>
        <w:pStyle w:val="titlebar"/>
        <w:rPr>
          <w:rFonts w:ascii="Times New Roman" w:hAnsi="Times New Roman" w:cs="Times New Roman"/>
          <w:sz w:val="24"/>
        </w:rPr>
      </w:pPr>
      <w:r>
        <w:rPr>
          <w:rFonts w:cs="Times New Roman" w:ascii="Times New Roman" w:hAnsi="Times New Roman"/>
          <w:sz w:val="24"/>
        </w:rPr>
      </w:r>
    </w:p>
    <w:p>
      <w:pPr>
        <w:pStyle w:val="titlebar"/>
        <w:rPr>
          <w:rFonts w:ascii="Times New Roman" w:hAnsi="Times New Roman" w:cs="Times New Roman"/>
          <w:sz w:val="24"/>
        </w:rPr>
      </w:pPr>
      <w:r>
        <w:rPr>
          <w:rFonts w:cs="Times New Roman" w:ascii="Times New Roman" w:hAnsi="Times New Roman"/>
          <w:sz w:val="24"/>
        </w:rPr>
      </w:r>
    </w:p>
    <w:tbl>
      <w:tblPr>
        <w:tblW w:w="9558" w:type="dxa"/>
        <w:jc w:val="start"/>
        <w:tblInd w:w="0" w:type="dxa"/>
        <w:tblLayout w:type="fixed"/>
        <w:tblCellMar>
          <w:top w:w="0" w:type="dxa"/>
          <w:start w:w="108" w:type="dxa"/>
          <w:bottom w:w="0" w:type="dxa"/>
          <w:end w:w="108" w:type="dxa"/>
        </w:tblCellMar>
      </w:tblPr>
      <w:tblGrid>
        <w:gridCol w:w="5958"/>
        <w:gridCol w:w="3600"/>
      </w:tblGrid>
      <w:tr>
        <w:trPr/>
        <w:tc>
          <w:tcPr>
            <w:tcW w:w="5958" w:type="dxa"/>
            <w:tcBorders>
              <w:end w:val="single" w:sz="6" w:space="0" w:color="000000"/>
            </w:tcBorders>
          </w:tcPr>
          <w:p>
            <w:pPr>
              <w:pStyle w:val="Normal"/>
              <w:tabs>
                <w:tab w:val="clear" w:pos="720"/>
                <w:tab w:val="left" w:pos="1440" w:leader="none"/>
                <w:tab w:val="left" w:pos="3600" w:leader="none"/>
              </w:tabs>
              <w:rPr>
                <w:sz w:val="24"/>
              </w:rPr>
            </w:pPr>
            <w:r>
              <w:rPr>
                <w:sz w:val="24"/>
              </w:rPr>
              <w:t>Application of Pacific Gas and Electric Company for verification, consolidation, and approval of costs and revenues in the transition revenue account.</w:t>
            </w:r>
          </w:p>
          <w:p>
            <w:pPr>
              <w:pStyle w:val="Normal"/>
              <w:rPr>
                <w:sz w:val="24"/>
              </w:rPr>
            </w:pPr>
            <w:r>
              <w:rPr>
                <w:sz w:val="24"/>
              </w:rPr>
            </w:r>
          </w:p>
        </w:tc>
        <w:tc>
          <w:tcPr>
            <w:tcW w:w="3600" w:type="dxa"/>
            <w:tcBorders/>
          </w:tcPr>
          <w:p>
            <w:pPr>
              <w:pStyle w:val="Normal"/>
              <w:snapToGrid w:val="false"/>
              <w:jc w:val="center"/>
              <w:rPr>
                <w:sz w:val="24"/>
              </w:rPr>
            </w:pPr>
            <w:r>
              <w:rPr>
                <w:sz w:val="24"/>
              </w:rPr>
            </w:r>
          </w:p>
          <w:p>
            <w:pPr>
              <w:pStyle w:val="Normal"/>
              <w:jc w:val="center"/>
              <w:rPr>
                <w:sz w:val="24"/>
              </w:rPr>
            </w:pPr>
            <w:r>
              <w:rPr>
                <w:sz w:val="24"/>
              </w:rPr>
              <w:t>Application 98-07-003</w:t>
            </w:r>
          </w:p>
          <w:p>
            <w:pPr>
              <w:pStyle w:val="BodyTextIndent"/>
              <w:rPr/>
            </w:pPr>
            <w:r>
              <w:rPr/>
              <w:t xml:space="preserve">          </w:t>
            </w:r>
            <w:r>
              <w:rPr/>
              <w:t>(Implementation of Suspension of Direct Access)</w:t>
            </w:r>
          </w:p>
          <w:p>
            <w:pPr>
              <w:pStyle w:val="Normal"/>
              <w:jc w:val="center"/>
              <w:rPr>
                <w:sz w:val="24"/>
              </w:rPr>
            </w:pPr>
            <w:r>
              <w:rPr>
                <w:sz w:val="24"/>
              </w:rPr>
            </w:r>
          </w:p>
        </w:tc>
      </w:tr>
      <w:tr>
        <w:trPr/>
        <w:tc>
          <w:tcPr>
            <w:tcW w:w="5958" w:type="dxa"/>
            <w:tcBorders>
              <w:bottom w:val="single" w:sz="6" w:space="0" w:color="000000"/>
              <w:end w:val="single" w:sz="6" w:space="0" w:color="000000"/>
            </w:tcBorders>
          </w:tcPr>
          <w:p>
            <w:pPr>
              <w:pStyle w:val="Normal"/>
              <w:tabs>
                <w:tab w:val="clear" w:pos="720"/>
                <w:tab w:val="left" w:pos="1440" w:leader="none"/>
                <w:tab w:val="left" w:pos="3600" w:leader="none"/>
              </w:tabs>
              <w:snapToGrid w:val="false"/>
              <w:rPr>
                <w:sz w:val="24"/>
              </w:rPr>
            </w:pPr>
            <w:r>
              <w:rPr>
                <w:sz w:val="24"/>
              </w:rPr>
            </w:r>
          </w:p>
        </w:tc>
        <w:tc>
          <w:tcPr>
            <w:tcW w:w="3600" w:type="dxa"/>
            <w:tcBorders/>
          </w:tcPr>
          <w:p>
            <w:pPr>
              <w:pStyle w:val="Normal"/>
              <w:snapToGrid w:val="false"/>
              <w:rPr>
                <w:sz w:val="24"/>
              </w:rPr>
            </w:pPr>
            <w:r>
              <w:rPr>
                <w:sz w:val="24"/>
              </w:rPr>
            </w:r>
          </w:p>
        </w:tc>
      </w:tr>
    </w:tbl>
    <w:p>
      <w:pPr>
        <w:pStyle w:val="Normal"/>
        <w:rPr>
          <w:sz w:val="24"/>
        </w:rPr>
      </w:pPr>
      <w:r>
        <w:rPr>
          <w:sz w:val="24"/>
        </w:rPr>
      </w:r>
    </w:p>
    <w:p>
      <w:pPr>
        <w:pStyle w:val="Normal"/>
        <w:rPr>
          <w:sz w:val="24"/>
        </w:rPr>
      </w:pPr>
      <w:r>
        <w:rPr>
          <w:sz w:val="24"/>
        </w:rPr>
      </w:r>
    </w:p>
    <w:p>
      <w:pPr>
        <w:pStyle w:val="Heading1"/>
        <w:ind w:hanging="0" w:start="0"/>
        <w:rPr/>
      </w:pPr>
      <w:r>
        <w:rPr/>
        <w:t>OPENING COMMENTS OF</w:t>
      </w:r>
    </w:p>
    <w:p>
      <w:pPr>
        <w:pStyle w:val="Normal"/>
        <w:jc w:val="center"/>
        <w:rPr>
          <w:b/>
          <w:bCs/>
          <w:sz w:val="24"/>
        </w:rPr>
      </w:pPr>
      <w:r>
        <w:rPr>
          <w:b/>
          <w:bCs/>
          <w:sz w:val="24"/>
        </w:rPr>
        <w:t>SEMPRA ENERGY SOLUTIONS</w:t>
      </w:r>
    </w:p>
    <w:p>
      <w:pPr>
        <w:pStyle w:val="Normal"/>
        <w:jc w:val="center"/>
        <w:rPr>
          <w:b/>
          <w:bCs/>
          <w:sz w:val="24"/>
        </w:rPr>
      </w:pPr>
      <w:r>
        <w:rPr>
          <w:b/>
          <w:bCs/>
          <w:sz w:val="24"/>
        </w:rPr>
        <w:t>ON QUESTIONS IN ASSIGNED COMMISSIONER WOOD’S</w:t>
      </w:r>
    </w:p>
    <w:p>
      <w:pPr>
        <w:pStyle w:val="Normal"/>
        <w:jc w:val="center"/>
        <w:rPr>
          <w:b/>
          <w:bCs/>
          <w:sz w:val="24"/>
        </w:rPr>
      </w:pPr>
      <w:r>
        <w:rPr>
          <w:b/>
          <w:bCs/>
          <w:sz w:val="24"/>
        </w:rPr>
        <w:t>RULING OF OCTOBER 23, 2001</w:t>
      </w:r>
    </w:p>
    <w:p>
      <w:pPr>
        <w:pStyle w:val="Normal"/>
        <w:jc w:val="center"/>
        <w:rPr>
          <w:b/>
          <w:bCs/>
          <w:sz w:val="24"/>
        </w:rPr>
      </w:pPr>
      <w:r>
        <w:rPr>
          <w:b/>
          <w:bCs/>
          <w:sz w:val="24"/>
        </w:rPr>
      </w:r>
    </w:p>
    <w:p>
      <w:pPr>
        <w:pStyle w:val="Normal"/>
        <w:jc w:val="center"/>
        <w:rPr>
          <w:b/>
          <w:bCs/>
          <w:sz w:val="24"/>
        </w:rPr>
      </w:pPr>
      <w:r>
        <w:rPr>
          <w:b/>
          <w:bCs/>
          <w:sz w:val="24"/>
        </w:rPr>
      </w:r>
    </w:p>
    <w:p>
      <w:pPr>
        <w:pStyle w:val="Normal"/>
        <w:jc w:val="center"/>
        <w:rPr>
          <w:b/>
          <w:bCs/>
          <w:sz w:val="24"/>
        </w:rPr>
      </w:pPr>
      <w:r>
        <w:rPr>
          <w:b/>
          <w:bCs/>
          <w:sz w:val="24"/>
        </w:rPr>
      </w:r>
    </w:p>
    <w:p>
      <w:pPr>
        <w:pStyle w:val="Normal"/>
        <w:jc w:val="center"/>
        <w:rPr>
          <w:b/>
          <w:bCs/>
          <w:sz w:val="24"/>
        </w:rPr>
      </w:pPr>
      <w:r>
        <w:rPr>
          <w:b/>
          <w:bCs/>
          <w:sz w:val="24"/>
        </w:rPr>
        <w:t>Introduction and Summary</w:t>
      </w:r>
    </w:p>
    <w:p>
      <w:pPr>
        <w:pStyle w:val="Normal"/>
        <w:jc w:val="center"/>
        <w:rPr>
          <w:b/>
          <w:bCs/>
          <w:sz w:val="24"/>
        </w:rPr>
      </w:pPr>
      <w:r>
        <w:rPr>
          <w:b/>
          <w:bCs/>
          <w:sz w:val="24"/>
        </w:rPr>
      </w:r>
    </w:p>
    <w:p>
      <w:pPr>
        <w:pStyle w:val="Normal"/>
        <w:spacing w:lineRule="auto" w:line="360"/>
        <w:rPr>
          <w:sz w:val="24"/>
        </w:rPr>
      </w:pPr>
      <w:r>
        <w:rPr>
          <w:sz w:val="24"/>
        </w:rPr>
        <w:tab/>
        <w:t>As provided in the October 23, 2001, Ruling of Assigned Commissioner Wood, Sempra Energy Solutions (“SES”) files these comments in response to the questions in that ruling.</w:t>
      </w:r>
    </w:p>
    <w:p>
      <w:pPr>
        <w:pStyle w:val="Normal"/>
        <w:spacing w:lineRule="auto" w:line="360"/>
        <w:rPr/>
      </w:pPr>
      <w:r>
        <w:rPr>
          <w:sz w:val="24"/>
        </w:rPr>
        <w:tab/>
        <w:t>The Commission should not suspend direct access service– whether only prospectively or retroactively to some date in the past – for customers who signed contracts with ESPs on or before September 20, 2001.</w:t>
      </w:r>
      <w:r>
        <w:rPr>
          <w:rStyle w:val="FootnoteCharacters"/>
          <w:rStyle w:val="FootnoteReference"/>
          <w:sz w:val="24"/>
        </w:rPr>
        <w:footnoteReference w:id="2"/>
      </w:r>
      <w:r>
        <w:rPr>
          <w:sz w:val="24"/>
        </w:rPr>
        <w:t xml:space="preserve">  To do so would be highly unfair to these customers and to the ESPs who signed these contracts at a time when they were allowed by law, and who have relied on them in good faith.  Furthermore, it would be unlawful, unwarranted, and in violation of the U.S. Constitution and state law to abrogate such contracts.</w:t>
      </w:r>
    </w:p>
    <w:p>
      <w:pPr>
        <w:pStyle w:val="Normal"/>
        <w:spacing w:lineRule="auto" w:line="360"/>
        <w:rPr>
          <w:sz w:val="24"/>
        </w:rPr>
      </w:pPr>
      <w:r>
        <w:rPr>
          <w:sz w:val="24"/>
        </w:rPr>
        <w:tab/>
        <w:t>Because it is neither fair nor lawful to suspend contracts signed on or before September 20, the Commission need not consider placing conditions on allowing these contracts to continue in effect, such as imposing “exit fees” or “surcharges” on customers who continue on direct access.</w:t>
      </w:r>
    </w:p>
    <w:p>
      <w:pPr>
        <w:pStyle w:val="Normal"/>
        <w:spacing w:lineRule="auto" w:line="360"/>
        <w:rPr>
          <w:sz w:val="24"/>
        </w:rPr>
      </w:pPr>
      <w:r>
        <w:rPr>
          <w:sz w:val="24"/>
        </w:rPr>
        <w:tab/>
        <w:t>Any customer who had signed a contract for service from an ESP on or before September 20, 2001, should be allowed to remain on direct access as long as the customer continues to take service from the ESP (or its successor or assignee) with whom it signed the contract in force on September 20, 2001.  Any attempt to prohibit “renewals” of contracts signed on or before September 20, 2001, will result in extensive disputes over the date of expiration of the original contract that will impose burdens that are not in the public interest.</w:t>
      </w:r>
    </w:p>
    <w:p>
      <w:pPr>
        <w:pStyle w:val="Normal"/>
        <w:spacing w:lineRule="auto" w:line="360"/>
        <w:rPr>
          <w:sz w:val="24"/>
        </w:rPr>
      </w:pPr>
      <w:r>
        <w:rPr>
          <w:sz w:val="24"/>
        </w:rPr>
        <w:tab/>
        <w:t>A customers who signed a contract with an ESP on or before September 20, 2001, should be allowed to add sites after September 20, 2001, at which the customer receives direct access service from that ESP (or its successor or assignee).  However, if the Commission finds in the future that so much direct access load is being added as a result of “add-ons” that it is threatening the purpose for which direct access suspension was authorized in AB 1X, the Commission could set a prospective date after which add-on DASRs would not be accepted unless the customer or ESP had bargained for such a right in a pre-September 20 contract.</w:t>
      </w:r>
    </w:p>
    <w:p>
      <w:pPr>
        <w:pStyle w:val="Normal"/>
        <w:spacing w:lineRule="auto" w:line="360"/>
        <w:rPr>
          <w:sz w:val="24"/>
        </w:rPr>
      </w:pPr>
      <w:r>
        <w:rPr>
          <w:sz w:val="24"/>
        </w:rPr>
        <w:tab/>
        <w:t>It is not apparent to SES that there are other types of contract provisions that need to be considered by the Commission in implementing the prohibition on service under new direct access contracts issued by the Commission on September 20, 2001 in D.01-09-060.</w:t>
      </w:r>
    </w:p>
    <w:p>
      <w:pPr>
        <w:pStyle w:val="Normal"/>
        <w:spacing w:lineRule="auto" w:line="360"/>
        <w:rPr>
          <w:sz w:val="24"/>
        </w:rPr>
      </w:pPr>
      <w:r>
        <w:rPr>
          <w:sz w:val="24"/>
        </w:rPr>
      </w:r>
    </w:p>
    <w:p>
      <w:pPr>
        <w:pStyle w:val="Normal"/>
        <w:spacing w:lineRule="auto" w:line="360"/>
        <w:rPr>
          <w:sz w:val="24"/>
        </w:rPr>
      </w:pPr>
      <w:r>
        <w:rPr>
          <w:sz w:val="24"/>
        </w:rPr>
      </w:r>
    </w:p>
    <w:p>
      <w:pPr>
        <w:pStyle w:val="Heading1"/>
        <w:spacing w:lineRule="auto" w:line="360"/>
        <w:ind w:hanging="0" w:start="0"/>
        <w:rPr/>
      </w:pPr>
      <w:r>
        <w:rPr/>
        <w:t>Discussion</w:t>
      </w:r>
    </w:p>
    <w:p>
      <w:pPr>
        <w:pStyle w:val="Normal"/>
        <w:spacing w:lineRule="auto" w:line="360"/>
        <w:jc w:val="center"/>
        <w:rPr>
          <w:b/>
          <w:bCs/>
          <w:sz w:val="24"/>
        </w:rPr>
      </w:pPr>
      <w:r>
        <w:rPr>
          <w:b/>
          <w:bCs/>
          <w:sz w:val="24"/>
        </w:rPr>
      </w:r>
    </w:p>
    <w:p>
      <w:pPr>
        <w:pStyle w:val="BodyText"/>
        <w:spacing w:lineRule="auto" w:line="240"/>
        <w:rPr/>
      </w:pPr>
      <w:r>
        <w:rPr/>
        <w:t>Q.1  Why should or shouldn’t the Commission choose an earlier date (than September 20, 2001) for suspending the right to acquire direct access service?</w:t>
      </w:r>
    </w:p>
    <w:p>
      <w:pPr>
        <w:pStyle w:val="Normal"/>
        <w:spacing w:lineRule="auto" w:line="360"/>
        <w:rPr>
          <w:b/>
          <w:bCs/>
          <w:sz w:val="24"/>
        </w:rPr>
      </w:pPr>
      <w:r>
        <w:rPr>
          <w:b/>
          <w:bCs/>
          <w:sz w:val="24"/>
        </w:rPr>
      </w:r>
    </w:p>
    <w:p>
      <w:pPr>
        <w:pStyle w:val="Normal"/>
        <w:numPr>
          <w:ilvl w:val="0"/>
          <w:numId w:val="3"/>
        </w:numPr>
        <w:rPr>
          <w:b/>
          <w:bCs/>
          <w:sz w:val="24"/>
        </w:rPr>
      </w:pPr>
      <w:r>
        <w:rPr>
          <w:b/>
          <w:bCs/>
          <w:sz w:val="24"/>
        </w:rPr>
        <w:t>“</w:t>
      </w:r>
      <w:r>
        <w:rPr>
          <w:b/>
          <w:bCs/>
          <w:sz w:val="24"/>
        </w:rPr>
        <w:t>Unwinding” of service already provided by ESPs under contracts signed on or before September 20, 2001, would be infeasible, grossly unfair, unlawful, and has not been reserved for consideration by the Commission.</w:t>
      </w:r>
    </w:p>
    <w:p>
      <w:pPr>
        <w:pStyle w:val="Normal"/>
        <w:ind w:start="360" w:end="0"/>
        <w:rPr>
          <w:b/>
          <w:bCs/>
          <w:sz w:val="24"/>
        </w:rPr>
      </w:pPr>
      <w:r>
        <w:rPr>
          <w:b/>
          <w:bCs/>
          <w:sz w:val="24"/>
        </w:rPr>
      </w:r>
    </w:p>
    <w:p>
      <w:pPr>
        <w:pStyle w:val="BodyTextIndent2"/>
        <w:rPr/>
      </w:pPr>
      <w:r>
        <w:rPr/>
        <w:t xml:space="preserve">SES presumes that the issue that the Commission reserved in D.01-09-060 and on which Commissioner Wood is seeking comment here is whether direct access under contracts signed on or before September 20, 2001, should be suspended, </w:t>
      </w:r>
      <w:r>
        <w:rPr>
          <w:u w:val="single"/>
        </w:rPr>
        <w:t>effective on a date on or after the date of a future Commission decision</w:t>
      </w:r>
      <w:r>
        <w:rPr/>
        <w:t>; i.e., whether direct access under contracts signed on or before September 20, 2001, should be suspended prospectively.  Nevertheless, it is theoretically possible that the Commission could have reserved the issue of whether service actually provided by ESPs to customers prior to the date of such a future Commission decision under contracts signed on or before September 20, 2001, would be “unwound” or “reversed”; i.e., whether the service provided by the ESPs before the future Commission decision would be somehow retroactively changed to become bundled UDC service.  Nothing in D.01-09-060 or D.01-10-036, or in Commissioner Wood’s ruling, says that the Commission intended to reserve the ability to decide to “unwind” or “reverse” service already provided by ESPs under contracts signed on or before September 20, 2001.  SES is not aware that any party has advocated such a step.</w:t>
      </w:r>
    </w:p>
    <w:p>
      <w:pPr>
        <w:pStyle w:val="BodyTextIndent2"/>
        <w:rPr/>
      </w:pPr>
      <w:r>
        <w:rPr/>
        <w:t>However, in the event that this extreme outcome is something that the Commission might actually consider, SES wishes to briefly discuss it at the outset of its comments.  This is a concept that the Commission should reject out-of-hand.</w:t>
      </w:r>
    </w:p>
    <w:p>
      <w:pPr>
        <w:pStyle w:val="BodyTextIndent2"/>
        <w:rPr/>
      </w:pPr>
      <w:r>
        <w:rPr/>
        <w:t>In the first place, it would be totally infeasible.  No one has even suggested how one could implement this outcome.  The Commission cannot change the past.  ESPs actually delivered power to the grid for their customers in those past periods; the utilities and/or DWR did not deliver power to the grid for those customers.  Electricity is not stored and cannot be returned, and the price and value of power is unique to the its moment of delivery.</w:t>
      </w:r>
    </w:p>
    <w:p>
      <w:pPr>
        <w:pStyle w:val="BodyTextIndent2"/>
        <w:rPr/>
      </w:pPr>
      <w:r>
        <w:rPr/>
        <w:t>Furthermore, as discussed below with respect to prospective suspension of contracts signed on or before September 20, 2001, there has been substantial reliance by both ESPs and their customers on the contracts they signed at a time when they were specifically authorized by law.  Obviously, the reliance on these contracts for service actually provided and received up to now is total and substantial.  The ESPs have obtained and paid for wholesale power that they have actually delivered.  The customers have actually operated based on their cost of power under these ESP contracts.  As also discussed below, it is unlawful both as a matter of the contract clause and state statute (AB 1X) for the Commission to suspend direct access under contracts signed before September 20, 2001.  While it would be unlawful to abrogate these contracts prospectively, it is even clearer that it would be unlawful to do so in a manner to “unwind” service already provided before the date of a future Commission decision.</w:t>
      </w:r>
    </w:p>
    <w:p>
      <w:pPr>
        <w:pStyle w:val="BodyTextIndent2"/>
        <w:rPr/>
      </w:pPr>
      <w:r>
        <w:rPr/>
        <w:t>Given the outlandishness of trying to “unwind” service already provided, in the remainder of these comments, SES focuses on the possibility that the Commission would suspend direct access under contracts signed on or before September 20, 2001, prospectively from a date on or after that of a future Commission decision.</w:t>
      </w:r>
    </w:p>
    <w:p>
      <w:pPr>
        <w:pStyle w:val="BodyTextIndent2"/>
        <w:rPr/>
      </w:pPr>
      <w:r>
        <w:rPr/>
      </w:r>
    </w:p>
    <w:p>
      <w:pPr>
        <w:pStyle w:val="BodyTextIndent2"/>
        <w:rPr/>
      </w:pPr>
      <w:r>
        <w:rPr/>
      </w:r>
    </w:p>
    <w:p>
      <w:pPr>
        <w:pStyle w:val="Normal"/>
        <w:numPr>
          <w:ilvl w:val="0"/>
          <w:numId w:val="3"/>
        </w:numPr>
        <w:rPr>
          <w:b/>
          <w:sz w:val="24"/>
        </w:rPr>
      </w:pPr>
      <w:r>
        <w:rPr>
          <w:b/>
          <w:sz w:val="24"/>
        </w:rPr>
        <w:t>Abrogation of contracts signed on or before September 20, 2001 would be unfair, unwarranted, and unlawful.</w:t>
      </w:r>
    </w:p>
    <w:p>
      <w:pPr>
        <w:pStyle w:val="Normal"/>
        <w:spacing w:lineRule="auto" w:line="360"/>
        <w:ind w:start="720" w:end="0"/>
        <w:rPr>
          <w:b/>
          <w:sz w:val="24"/>
        </w:rPr>
      </w:pPr>
      <w:r>
        <w:rPr>
          <w:b/>
          <w:sz w:val="24"/>
        </w:rPr>
      </w:r>
    </w:p>
    <w:p>
      <w:pPr>
        <w:pStyle w:val="Normal"/>
        <w:spacing w:lineRule="auto" w:line="360"/>
        <w:ind w:firstLine="720" w:end="0"/>
        <w:rPr>
          <w:sz w:val="24"/>
        </w:rPr>
      </w:pPr>
      <w:r>
        <w:rPr>
          <w:sz w:val="24"/>
        </w:rPr>
        <w:t>It would be unfair, unwarranted, and unlawful for the Commission to abrogate contracts entered into on or before September 20, 2001.</w:t>
      </w:r>
    </w:p>
    <w:p>
      <w:pPr>
        <w:pStyle w:val="Normal"/>
        <w:spacing w:lineRule="auto" w:line="360"/>
        <w:ind w:firstLine="720" w:end="0"/>
        <w:rPr>
          <w:sz w:val="24"/>
        </w:rPr>
      </w:pPr>
      <w:r>
        <w:rPr>
          <w:sz w:val="24"/>
        </w:rPr>
      </w:r>
    </w:p>
    <w:p>
      <w:pPr>
        <w:pStyle w:val="Normal"/>
        <w:numPr>
          <w:ilvl w:val="1"/>
          <w:numId w:val="3"/>
        </w:numPr>
        <w:ind w:hanging="1022" w:start="2102" w:end="0"/>
        <w:rPr>
          <w:b/>
          <w:bCs/>
          <w:sz w:val="24"/>
        </w:rPr>
      </w:pPr>
      <w:r>
        <w:rPr>
          <w:b/>
          <w:bCs/>
          <w:sz w:val="24"/>
        </w:rPr>
        <w:t>It would be unfair to abrogate contracts entered into on or before September 20, 2001.</w:t>
      </w:r>
    </w:p>
    <w:p>
      <w:pPr>
        <w:pStyle w:val="Normal"/>
        <w:spacing w:lineRule="auto" w:line="360"/>
        <w:ind w:start="1080" w:end="0"/>
        <w:rPr>
          <w:b/>
          <w:bCs/>
          <w:sz w:val="24"/>
        </w:rPr>
      </w:pPr>
      <w:r>
        <w:rPr>
          <w:b/>
          <w:bCs/>
          <w:sz w:val="24"/>
        </w:rPr>
      </w:r>
    </w:p>
    <w:p>
      <w:pPr>
        <w:pStyle w:val="BodyTextIndent2"/>
        <w:tabs>
          <w:tab w:val="clear" w:pos="0"/>
        </w:tabs>
        <w:rPr/>
      </w:pPr>
      <w:r>
        <w:rPr/>
        <w:t xml:space="preserve">ESPs and their customers reasonably </w:t>
      </w:r>
      <w:r>
        <w:rPr>
          <w:u w:val="single"/>
        </w:rPr>
        <w:t>relied</w:t>
      </w:r>
      <w:r>
        <w:rPr/>
        <w:t xml:space="preserve"> on the law and Commission decisions as it existed until September 20, 2001.  Both ESPs and their customers invested significant time and expense in negotiating and signing direct access contracts on or before September 20, 2001.  ESPs incurred substantial marketing expenses and customers incurred substantial costs in shopping for electric supplies.  Even more significantly, ESPs have made arrangements to obtain power on the wholesale market to serve the customers with whom they contracted on or before September 20, 2001.  SES has made long-term commitments to buy power to serve customers it contracted on or before September 20 to serve.  Similarly, electric consumers who signed contracts with ESPs on or before September 20 have planned their budgets and made commitments for their businesses into the future based on the price for power under those contracts.  This reliance is real and substantial.  The ESPs and their customers were entirely reasonable in relying on the expectation that any suspension of direct access would not abrogate contracts signed on or before the date of a Commission decision suspending direct access.</w:t>
      </w:r>
    </w:p>
    <w:p>
      <w:pPr>
        <w:pStyle w:val="Normal"/>
        <w:spacing w:lineRule="auto" w:line="360"/>
        <w:ind w:firstLine="720" w:end="0"/>
        <w:rPr>
          <w:sz w:val="24"/>
        </w:rPr>
      </w:pPr>
      <w:r>
        <w:rPr>
          <w:sz w:val="24"/>
        </w:rPr>
        <w:t>It has been suggested that affected persons were “on notice” by virtue of the issuance of the original June 15 draft decision that the Commission might suspend direct access for contracts signed on or before the date of a Commission decision suspending direct access.</w:t>
      </w:r>
    </w:p>
    <w:p>
      <w:pPr>
        <w:pStyle w:val="Normal"/>
        <w:spacing w:lineRule="auto" w:line="360"/>
        <w:ind w:firstLine="720" w:end="0"/>
        <w:rPr>
          <w:sz w:val="24"/>
        </w:rPr>
      </w:pPr>
      <w:r>
        <w:rPr>
          <w:sz w:val="24"/>
        </w:rPr>
        <w:t>In the first place, it is not reasonable to attribute to customers notice of Commission decisionmaking while it is still in progress.  Following the twists and turns of a proceeding before the Commission issues a decision is no easy matter.</w:t>
      </w:r>
    </w:p>
    <w:p>
      <w:pPr>
        <w:pStyle w:val="Normal"/>
        <w:spacing w:lineRule="auto" w:line="360"/>
        <w:ind w:firstLine="720" w:end="0"/>
        <w:rPr/>
      </w:pPr>
      <w:r>
        <w:rPr>
          <w:sz w:val="24"/>
        </w:rPr>
        <w:t xml:space="preserve">Moreover, the </w:t>
      </w:r>
      <w:r>
        <w:rPr>
          <w:sz w:val="24"/>
          <w:u w:val="single"/>
        </w:rPr>
        <w:t>only</w:t>
      </w:r>
      <w:r>
        <w:rPr>
          <w:sz w:val="24"/>
        </w:rPr>
        <w:t xml:space="preserve"> “message” that ESPs or customers could possibly have taken from the course of this proceeding at any time before the issuance of the August 27 second-revised ALJ draft decision is that if the Commission were going to suspend direct access at all, it would not abrogate contracts signed before the Commission’s decision suspending direct access.  The June 15 draft decision was on the agenda for June 28, and would have suspended direct access except for customers who signed contracts by June 30.  The Commission held the matter on June 28.  The next development was the issuance on August 15 of a revised ALJ draft decision on the August 23 agenda, which would have suspended direct access except for customers who signed contracts by August 31.  The Commission again held the matter on August 23.  SES signed a significant number of new direct access contracts between August 15 and August 27.  SES and customers were clearly reasonable given these facts in expecting between August 15 and August 27 that any suspension would not apply to those contracts.  It was only with the issuance of the second revised draft decision on August 27 that the </w:t>
      </w:r>
      <w:r>
        <w:rPr>
          <w:sz w:val="24"/>
          <w:u w:val="single"/>
        </w:rPr>
        <w:t>possibility</w:t>
      </w:r>
      <w:r>
        <w:rPr>
          <w:sz w:val="24"/>
        </w:rPr>
        <w:t xml:space="preserve"> arose of abrogation of contracts signed before the date of a Commission decision.</w:t>
      </w:r>
    </w:p>
    <w:p>
      <w:pPr>
        <w:pStyle w:val="Normal"/>
        <w:spacing w:lineRule="auto" w:line="360"/>
        <w:ind w:firstLine="720" w:end="0"/>
        <w:rPr>
          <w:sz w:val="24"/>
        </w:rPr>
      </w:pPr>
      <w:r>
        <w:rPr>
          <w:sz w:val="24"/>
        </w:rPr>
        <w:t>In any case, it is not appropriate to expect market participants to rely that an ALJ draft decision will be approved – much less expect them to rely on an ALJ draft decision when it was in its third iteration, the matter had been repeatedly held, and for which there was an alternate sponsored by a Commissioner.  To do so would imply that an ALJ recommendation has some binding effect even before it has been approved by the Commission.  This is contrary to law and would also be bad policy unduly restricting the Commissioners’ right and duty to exercise their own independent judgment on policy and law.</w:t>
      </w:r>
    </w:p>
    <w:p>
      <w:pPr>
        <w:pStyle w:val="Normal"/>
        <w:spacing w:lineRule="auto" w:line="360"/>
        <w:ind w:firstLine="720" w:end="0"/>
        <w:rPr>
          <w:sz w:val="24"/>
        </w:rPr>
      </w:pPr>
      <w:r>
        <w:rPr>
          <w:sz w:val="24"/>
        </w:rPr>
      </w:r>
    </w:p>
    <w:p>
      <w:pPr>
        <w:pStyle w:val="Normal"/>
        <w:numPr>
          <w:ilvl w:val="1"/>
          <w:numId w:val="3"/>
        </w:numPr>
        <w:ind w:hanging="1022" w:start="2102" w:end="0"/>
        <w:rPr>
          <w:b/>
          <w:bCs/>
          <w:sz w:val="24"/>
        </w:rPr>
      </w:pPr>
      <w:r>
        <w:rPr>
          <w:b/>
          <w:bCs/>
          <w:sz w:val="24"/>
        </w:rPr>
        <w:t>It would be unwarranted to abrogate contracts signed before September 20, 2001.</w:t>
      </w:r>
    </w:p>
    <w:p>
      <w:pPr>
        <w:pStyle w:val="Normal"/>
        <w:spacing w:lineRule="auto" w:line="360"/>
        <w:ind w:start="1080" w:end="0"/>
        <w:rPr>
          <w:b/>
          <w:bCs/>
          <w:sz w:val="24"/>
        </w:rPr>
      </w:pPr>
      <w:r>
        <w:rPr>
          <w:b/>
          <w:bCs/>
          <w:sz w:val="24"/>
        </w:rPr>
      </w:r>
    </w:p>
    <w:p>
      <w:pPr>
        <w:pStyle w:val="Normal"/>
        <w:spacing w:lineRule="auto" w:line="360"/>
        <w:ind w:firstLine="720" w:end="0"/>
        <w:rPr>
          <w:sz w:val="24"/>
        </w:rPr>
      </w:pPr>
      <w:r>
        <w:rPr>
          <w:sz w:val="24"/>
        </w:rPr>
        <w:t>There is no evidence that suspension of contracts signed on or before September 20, 2001, is necessary to achieve the purposes for which AB 1X authorized the suspension of direct access.  SES believes those purposes were not to interfere with the ability to sell of DWR bonds and not to interfere with DWR’s ability to recover its costs.  The Commission on September 20 shut the door on any more direct access contracts being signed.  This action will prevent the percentage of direct access from growing once the DASRs under pre-September 20 contracts have passed “through the pipeline”.  No case has been made that bonds cannot be sold and DWR cannot recover its costs unless pre-September 20 contracts are also suspended.</w:t>
      </w:r>
    </w:p>
    <w:p>
      <w:pPr>
        <w:pStyle w:val="Normal"/>
        <w:spacing w:lineRule="auto" w:line="360"/>
        <w:ind w:firstLine="720" w:end="0"/>
        <w:rPr>
          <w:sz w:val="24"/>
        </w:rPr>
      </w:pPr>
      <w:r>
        <w:rPr>
          <w:sz w:val="24"/>
        </w:rPr>
        <w:t xml:space="preserve"> </w:t>
      </w:r>
    </w:p>
    <w:p>
      <w:pPr>
        <w:pStyle w:val="Normal"/>
        <w:numPr>
          <w:ilvl w:val="1"/>
          <w:numId w:val="3"/>
        </w:numPr>
        <w:ind w:hanging="1022" w:start="2102" w:end="0"/>
        <w:rPr>
          <w:b/>
          <w:bCs/>
          <w:sz w:val="24"/>
        </w:rPr>
      </w:pPr>
      <w:r>
        <w:rPr>
          <w:b/>
          <w:bCs/>
          <w:sz w:val="24"/>
        </w:rPr>
        <w:t>Abrogation of contracts signed on or before September 20, 2001, would be unlawful.</w:t>
      </w:r>
    </w:p>
    <w:p>
      <w:pPr>
        <w:pStyle w:val="Normal"/>
        <w:spacing w:lineRule="auto" w:line="360"/>
        <w:ind w:start="1080" w:end="0"/>
        <w:rPr>
          <w:b/>
          <w:bCs/>
          <w:sz w:val="24"/>
        </w:rPr>
      </w:pPr>
      <w:r>
        <w:rPr>
          <w:b/>
          <w:bCs/>
          <w:sz w:val="24"/>
        </w:rPr>
      </w:r>
    </w:p>
    <w:p>
      <w:pPr>
        <w:pStyle w:val="Normal"/>
        <w:spacing w:lineRule="auto" w:line="360"/>
        <w:ind w:firstLine="1080" w:end="0"/>
        <w:rPr>
          <w:sz w:val="24"/>
        </w:rPr>
      </w:pPr>
      <w:r>
        <w:rPr>
          <w:sz w:val="24"/>
        </w:rPr>
        <w:t>Below, SES sets forth the grounds on which it has found abrogation of pre-September 20 contracts would be unlawful.  SES notes that several other legal grounds have been raised by other parties in earlier filings.  The fact that SES has focused on the legal grounds set forth below should not be taken to imply that other legal grounds that may be raised by other parties do not also have merit.</w:t>
      </w:r>
    </w:p>
    <w:p>
      <w:pPr>
        <w:pStyle w:val="Normal"/>
        <w:spacing w:lineRule="auto" w:line="360"/>
        <w:ind w:firstLine="1080" w:end="0"/>
        <w:rPr>
          <w:sz w:val="24"/>
        </w:rPr>
      </w:pPr>
      <w:r>
        <w:rPr>
          <w:sz w:val="24"/>
        </w:rPr>
      </w:r>
    </w:p>
    <w:p>
      <w:pPr>
        <w:pStyle w:val="Normal"/>
        <w:numPr>
          <w:ilvl w:val="2"/>
          <w:numId w:val="3"/>
        </w:numPr>
        <w:ind w:hanging="360" w:start="2347" w:end="0"/>
        <w:rPr>
          <w:b/>
          <w:bCs/>
          <w:sz w:val="24"/>
        </w:rPr>
      </w:pPr>
      <w:r>
        <w:rPr>
          <w:b/>
          <w:bCs/>
          <w:sz w:val="24"/>
        </w:rPr>
        <w:t>Abrogation would violate the “Contract Clause” of the U.S. Constitution.</w:t>
      </w:r>
    </w:p>
    <w:p>
      <w:pPr>
        <w:pStyle w:val="Normal"/>
        <w:spacing w:lineRule="auto" w:line="360"/>
        <w:ind w:start="1980" w:end="0"/>
        <w:rPr>
          <w:b/>
          <w:bCs/>
          <w:sz w:val="24"/>
        </w:rPr>
      </w:pPr>
      <w:r>
        <w:rPr>
          <w:b/>
          <w:bCs/>
          <w:sz w:val="24"/>
        </w:rPr>
      </w:r>
    </w:p>
    <w:p>
      <w:pPr>
        <w:pStyle w:val="Normal"/>
        <w:spacing w:lineRule="auto" w:line="360"/>
        <w:ind w:firstLine="720" w:end="0"/>
        <w:rPr>
          <w:sz w:val="24"/>
        </w:rPr>
      </w:pPr>
      <w:r>
        <w:rPr>
          <w:sz w:val="24"/>
        </w:rPr>
        <w:t>The protection of reasonable expectations in signed contracts against state action abrogating them is provided by the Constitution of the United States.  The “Contract Clause”, Article I, Section 10, clause 1, of the Constitution provides:  “No State shall…pass any bill of attainder, ex post facto law, or law impairing the obligation of contracts….”</w:t>
      </w:r>
    </w:p>
    <w:p>
      <w:pPr>
        <w:pStyle w:val="Normal"/>
        <w:spacing w:lineRule="auto" w:line="360"/>
        <w:ind w:firstLine="720" w:end="0"/>
        <w:rPr/>
      </w:pPr>
      <w:r>
        <w:rPr>
          <w:sz w:val="24"/>
        </w:rPr>
        <w:t xml:space="preserve">The applicability of this prohibition to contracts for utility services has been long recognized.  For instance, the Supreme Court of the U.S. has held that when a city has made a contract with a utility for service fixing the rates to be paid, the utility may not thereafter be required to serve for less, even if the specified rates are unreasonably high; </w:t>
      </w:r>
      <w:r>
        <w:rPr>
          <w:sz w:val="24"/>
          <w:u w:val="single"/>
        </w:rPr>
        <w:t>Detroit v. Detroit Citizens’ Street Railway Co.</w:t>
      </w:r>
      <w:r>
        <w:rPr>
          <w:sz w:val="24"/>
        </w:rPr>
        <w:t xml:space="preserve">, 184 U.S. 368 (1902).  See also, </w:t>
      </w:r>
      <w:r>
        <w:rPr>
          <w:sz w:val="24"/>
          <w:u w:val="single"/>
        </w:rPr>
        <w:t>Los Angeles v. Los Angeles City Water Co</w:t>
      </w:r>
      <w:r>
        <w:rPr>
          <w:sz w:val="24"/>
        </w:rPr>
        <w:t>., 177 U.S. 558 (1900).</w:t>
      </w:r>
    </w:p>
    <w:p>
      <w:pPr>
        <w:pStyle w:val="BodyTextIndent"/>
        <w:spacing w:lineRule="auto" w:line="360"/>
        <w:ind w:firstLine="720" w:start="0" w:end="0"/>
        <w:rPr/>
      </w:pPr>
      <w:r>
        <w:rPr/>
        <w:t>Here, the contracts between ESPs and consumers on or before September 20, 2001, were entered into as part of a process specifically authorized by law and by Commission decisions in effect until September 20, 2001.  On its face, abrogation of contracts signed on or before September 20 violates the Contract Clause.</w:t>
      </w:r>
    </w:p>
    <w:p>
      <w:pPr>
        <w:pStyle w:val="Normal"/>
        <w:spacing w:lineRule="auto" w:line="360"/>
        <w:ind w:firstLine="720" w:end="0"/>
        <w:rPr>
          <w:sz w:val="24"/>
        </w:rPr>
      </w:pPr>
      <w:r>
        <w:rPr>
          <w:sz w:val="24"/>
        </w:rPr>
        <w:t>There are significant exceptions or limitations to the protection of the Contract Clause, but none of them are applicable here.</w:t>
      </w:r>
    </w:p>
    <w:p>
      <w:pPr>
        <w:pStyle w:val="Normal"/>
        <w:spacing w:lineRule="auto" w:line="360"/>
        <w:ind w:firstLine="720" w:end="0"/>
        <w:rPr>
          <w:sz w:val="24"/>
        </w:rPr>
      </w:pPr>
      <w:r>
        <w:rPr>
          <w:sz w:val="24"/>
        </w:rPr>
        <w:t>Laws existing at the date of signing of a contract are not prohibited from effect by the Contract Clause.  However, in this case, no law or Commission order prohibited customers from signing direct access contracts at any time until September 20, 2001.  AB 1X existed, and authorized the Commission to implement suspension of direct access when the Commission determined it was justified to do so, but the Commission did not do so until September 20, 2001.</w:t>
      </w:r>
    </w:p>
    <w:p>
      <w:pPr>
        <w:pStyle w:val="Normal"/>
        <w:spacing w:lineRule="auto" w:line="360"/>
        <w:ind w:firstLine="720" w:end="0"/>
        <w:rPr>
          <w:sz w:val="24"/>
        </w:rPr>
      </w:pPr>
      <w:r>
        <w:rPr>
          <w:sz w:val="24"/>
        </w:rPr>
        <w:t>Emergency conditions may justify some impairment of contract without violating the Constitution.  However, in this case there is no such severe “emergency” as to justify the impairment.  There is no credible basis for concluding that suspension of contracts signed on or before September 20 is necessary for DWR to be able to recover the cost of the power that it has or will purchase, or that DWR will not be able to issue bonds if direct access under contracts signed on or before September 20 is not suspended.</w:t>
      </w:r>
    </w:p>
    <w:p>
      <w:pPr>
        <w:pStyle w:val="Normal"/>
        <w:spacing w:lineRule="auto" w:line="360"/>
        <w:ind w:firstLine="720" w:end="0"/>
        <w:rPr/>
      </w:pPr>
      <w:r>
        <w:rPr>
          <w:sz w:val="24"/>
        </w:rPr>
        <w:t xml:space="preserve">Also, private contracts are not necessarily immune to impairment by subsequent legislation sufficiently involving the police powers of the state, such as over health, morals, safety, and to some extent economic interests.  However, the ability of a state to justify impairment of contract in the furtherance of economic interests is limited; </w:t>
      </w:r>
      <w:r>
        <w:rPr>
          <w:sz w:val="24"/>
          <w:u w:val="single"/>
        </w:rPr>
        <w:t>El Paso v. Simmons</w:t>
      </w:r>
      <w:r>
        <w:rPr>
          <w:sz w:val="24"/>
        </w:rPr>
        <w:t xml:space="preserve">, 379 U.S. 497 at 509 (1965).  As noted above regarding the </w:t>
      </w:r>
      <w:r>
        <w:rPr>
          <w:sz w:val="24"/>
          <w:u w:val="single"/>
        </w:rPr>
        <w:t>Detroit Citizens’ Street Railway</w:t>
      </w:r>
      <w:r>
        <w:rPr>
          <w:sz w:val="24"/>
        </w:rPr>
        <w:t xml:space="preserve"> case, contracts for utility service have been held to be protected by the Contract Clause, although there is a clearly a police power interest in utility regulation.</w:t>
      </w:r>
    </w:p>
    <w:p>
      <w:pPr>
        <w:pStyle w:val="Normal"/>
        <w:spacing w:lineRule="auto" w:line="360"/>
        <w:ind w:firstLine="720" w:end="0"/>
        <w:rPr/>
      </w:pPr>
      <w:r>
        <w:rPr>
          <w:sz w:val="24"/>
        </w:rPr>
        <w:t xml:space="preserve">Contracts are not unconstitutionally impaired when the law at the time they were entered into clearly reserved to the state the right to alter, amend, or repeal their provisions.  However, in this case, no law or Commission order that had been placed into effect at the time contracts were signed on or before September 20, 2001, that provided that they were subject to alteration, amendment or abrogation by the state at a later time.  Indeed, at the time they were entered into, the provisions of AB 1890 and Commission decisions implementing the Direct Access provisions of AB 1890 were in effect.  These provisions accommodated such contracts and in no way provided that the state or Commission could alter, amend, or abrogate contracts between ESPs and electric consumers.  The state having set up a system specifically to accommodate such contracts, contracts entered into under such a system before its modification by the state cannot be abrogated; see </w:t>
      </w:r>
      <w:r>
        <w:rPr>
          <w:sz w:val="24"/>
          <w:u w:val="single"/>
        </w:rPr>
        <w:t>Indiana ex rel. Anderson v. Brand</w:t>
      </w:r>
      <w:r>
        <w:rPr>
          <w:sz w:val="24"/>
        </w:rPr>
        <w:t>, 303 U.S. 95 (1938).</w:t>
      </w:r>
    </w:p>
    <w:p>
      <w:pPr>
        <w:pStyle w:val="Normal"/>
        <w:spacing w:lineRule="auto" w:line="360"/>
        <w:ind w:firstLine="720" w:end="0"/>
        <w:rPr>
          <w:sz w:val="24"/>
        </w:rPr>
      </w:pPr>
      <w:r>
        <w:rPr>
          <w:sz w:val="24"/>
        </w:rPr>
      </w:r>
    </w:p>
    <w:p>
      <w:pPr>
        <w:pStyle w:val="BodyTextIndent3"/>
        <w:numPr>
          <w:ilvl w:val="2"/>
          <w:numId w:val="3"/>
        </w:numPr>
        <w:spacing w:lineRule="auto" w:line="240"/>
        <w:rPr/>
      </w:pPr>
      <w:r>
        <w:rPr/>
        <w:t>Abrogation of contracts signed on or before September 20, 2001, is contrary to AB 1X and other statutory provisions.</w:t>
      </w:r>
    </w:p>
    <w:p>
      <w:pPr>
        <w:pStyle w:val="Normal"/>
        <w:spacing w:lineRule="auto" w:line="360"/>
        <w:ind w:start="720" w:end="0"/>
        <w:rPr>
          <w:b/>
          <w:sz w:val="24"/>
        </w:rPr>
      </w:pPr>
      <w:r>
        <w:rPr>
          <w:b/>
          <w:sz w:val="24"/>
        </w:rPr>
      </w:r>
    </w:p>
    <w:p>
      <w:pPr>
        <w:pStyle w:val="Normal"/>
        <w:spacing w:lineRule="auto" w:line="360"/>
        <w:ind w:firstLine="720" w:end="0"/>
        <w:rPr>
          <w:sz w:val="24"/>
        </w:rPr>
      </w:pPr>
      <w:r>
        <w:rPr>
          <w:sz w:val="24"/>
        </w:rPr>
        <w:t>There is no statutory right or power of the Commission to suspend Direct Access as of a date prior to the Commission decision suspending it.</w:t>
      </w:r>
    </w:p>
    <w:p>
      <w:pPr>
        <w:pStyle w:val="Normal"/>
        <w:spacing w:lineRule="auto" w:line="360"/>
        <w:ind w:firstLine="720" w:end="0"/>
        <w:rPr>
          <w:sz w:val="24"/>
        </w:rPr>
      </w:pPr>
      <w:r>
        <w:rPr>
          <w:sz w:val="24"/>
        </w:rPr>
        <w:t>Water Code Section 80110, as added by AB 1X, reads in relevant part as follows:</w:t>
      </w:r>
    </w:p>
    <w:p>
      <w:pPr>
        <w:pStyle w:val="BlockText"/>
        <w:rPr/>
      </w:pPr>
      <w:r>
        <w:rPr/>
        <w:t>After passage of such period of time after the effective date of his section as shall be determined by the commission, the right of retail end use customers pursuant to Article 6 (commencing with Section 360) of Chapter 2.3 of Part 1 of Division 1 of the Public Utilities Code to acquire service from other providers shall be suspended until the department no longer supplies power hereunder.</w:t>
      </w:r>
    </w:p>
    <w:p>
      <w:pPr>
        <w:pStyle w:val="Normal"/>
        <w:spacing w:lineRule="auto" w:line="360"/>
        <w:ind w:firstLine="720" w:end="0"/>
        <w:rPr>
          <w:sz w:val="24"/>
        </w:rPr>
      </w:pPr>
      <w:r>
        <w:rPr>
          <w:sz w:val="24"/>
        </w:rPr>
      </w:r>
    </w:p>
    <w:p>
      <w:pPr>
        <w:pStyle w:val="Normal"/>
        <w:spacing w:lineRule="auto" w:line="360"/>
        <w:ind w:firstLine="720" w:end="0"/>
        <w:rPr>
          <w:sz w:val="24"/>
        </w:rPr>
      </w:pPr>
      <w:r>
        <w:rPr>
          <w:sz w:val="24"/>
        </w:rPr>
        <w:t>Water Code Section 80110 in no way suggests that when the Commission suspends direct access, it can do so retroactively.</w:t>
      </w:r>
    </w:p>
    <w:p>
      <w:pPr>
        <w:pStyle w:val="Normal"/>
        <w:spacing w:lineRule="auto" w:line="360"/>
        <w:ind w:firstLine="720" w:end="0"/>
        <w:rPr/>
      </w:pPr>
      <w:r>
        <w:rPr>
          <w:sz w:val="24"/>
        </w:rPr>
        <w:t xml:space="preserve">To the contrary, AB 1X provides that as of the prospective date the Commission determines for the commencement of suspension of direct access, it is </w:t>
      </w:r>
      <w:r>
        <w:rPr>
          <w:sz w:val="24"/>
          <w:u w:val="single"/>
        </w:rPr>
        <w:t>only</w:t>
      </w:r>
      <w:r>
        <w:rPr>
          <w:sz w:val="24"/>
        </w:rPr>
        <w:t xml:space="preserve"> customers who have not already signed contracts who can be barred from receiving direct access service thereafter.  The relevant portion of the statute states:  “After the passage of such period of time after the effective date of this section as shall be determined by the commission, the right of retail end use customers….to acquire service from other providers shall be suspended….”  A direct access contract signed before the effective date of the statute (February 1, 2001) would not be “suspended” once the Commission implemented Direct Access suspension, because of the phrase “after the effective date of this section” in the statute.  Obviously, the Commission could not decide upon an effective date until sometime after the passage of the statute (which as an urgency measure was effective immediately upon passage and signature by the Governor) that gave the Commission this task.  It would not have been necessary to say “after the effective date of this section” to ensure that the Commission would not take action until after its effective date.  Thus, this phrase must mean that direct access to customers electing it sometime “after the effective date of the section” could be suspended.  Thus, clearly the section does not provide for the suspension of direct access service to customers who were on direct access as of February 1, 2001.</w:t>
      </w:r>
    </w:p>
    <w:p>
      <w:pPr>
        <w:pStyle w:val="Normal"/>
        <w:spacing w:lineRule="auto" w:line="360"/>
        <w:ind w:firstLine="720" w:end="0"/>
        <w:rPr>
          <w:sz w:val="24"/>
        </w:rPr>
      </w:pPr>
      <w:r>
        <w:rPr>
          <w:sz w:val="24"/>
        </w:rPr>
        <w:t>Indeed, other language in the section indicates that customers who elected direct access any time prior to the date the Commission determined for the implementation of suspension would not be barred from continued direct access service after the date for commencement of suspension.  The section refers to suspending the right of customers “to acquire” direct access service.  “To acquire” implies some action – newly signing a contract with an ESP – beyond the mere continued receipt of direct access service.  If the Legislature had wanted to suspend direct access service even to customers who had already signed ESP contracts as of the Commission’s adoption of suspension, it would have said the right of customers “to receive” direct access service would be suspended.</w:t>
      </w:r>
    </w:p>
    <w:p>
      <w:pPr>
        <w:pStyle w:val="Normal"/>
        <w:spacing w:lineRule="auto" w:line="360"/>
        <w:ind w:firstLine="720" w:end="0"/>
        <w:rPr>
          <w:sz w:val="24"/>
        </w:rPr>
      </w:pPr>
      <w:r>
        <w:rPr>
          <w:sz w:val="24"/>
        </w:rPr>
        <w:t>Interpretation of Water Code Section 80110 to prohibit suspension of direct access under contracts signed on or before September 20, 2001, is also mandated by the rule against retroactive ratemaking, as provided in Public Utilities Code Section 728.  Section 728 states that whenever the Commission determines that not only rates, but also “the rules, practices, or contracts affecting such rates or classifications” are unreasonable, unjust, etc., then the Commission shall fix the just, reasonable, or sufficient “rates, classifications, rules, practices or contracts to be thereafter observed and in force.”  If it were to suspend contracts entered into before September 20, the Commission would be ordering utilities to disregard DASRs that had been lawfully submitted to the utilities according to the utility’s tariff provisions in effect on and before September 20.  This would amount to retroactively changing utility rules and practices in violation of the rule against retroactive ratemaking.</w:t>
      </w:r>
    </w:p>
    <w:p>
      <w:pPr>
        <w:pStyle w:val="Normal"/>
        <w:spacing w:lineRule="auto" w:line="360"/>
        <w:ind w:firstLine="720" w:end="0"/>
        <w:rPr>
          <w:sz w:val="24"/>
        </w:rPr>
      </w:pPr>
      <w:r>
        <w:rPr>
          <w:sz w:val="24"/>
        </w:rPr>
      </w:r>
    </w:p>
    <w:p>
      <w:pPr>
        <w:pStyle w:val="BodyText"/>
        <w:spacing w:lineRule="auto" w:line="240"/>
        <w:rPr/>
      </w:pPr>
      <w:r>
        <w:rPr/>
        <w:t>Q.2  If the Commission should choose an earlier date, why should or shouldn’t the Commission consider the July 1, 2001 suspension as set forth in the June 15 and August 27 Draft Decisions of ALJ Barnett?  If not July 1, 2001, what other date or dates should the Commission consider and why?</w:t>
      </w:r>
    </w:p>
    <w:p>
      <w:pPr>
        <w:pStyle w:val="BodyText"/>
        <w:spacing w:lineRule="auto" w:line="240"/>
        <w:rPr/>
      </w:pPr>
      <w:r>
        <w:rPr/>
      </w:r>
    </w:p>
    <w:p>
      <w:pPr>
        <w:pStyle w:val="Normal"/>
        <w:spacing w:lineRule="auto" w:line="360"/>
        <w:rPr/>
      </w:pPr>
      <w:r>
        <w:rPr>
          <w:sz w:val="24"/>
        </w:rPr>
        <w:tab/>
        <w:t xml:space="preserve">It would be unfair, unwarranted, and unlawful for the Commission to choose </w:t>
      </w:r>
      <w:r>
        <w:rPr>
          <w:sz w:val="24"/>
          <w:u w:val="single"/>
        </w:rPr>
        <w:t>any</w:t>
      </w:r>
      <w:r>
        <w:rPr>
          <w:sz w:val="24"/>
        </w:rPr>
        <w:t xml:space="preserve"> date prior to September 20, 2001, for the reasons stated in the response above to Commissioner Wood’s Question 1.  Therefore, SES is not suggesting the possibility of the Commission using any other “cut off” date of contracts.</w:t>
      </w:r>
    </w:p>
    <w:p>
      <w:pPr>
        <w:pStyle w:val="Normal"/>
        <w:spacing w:lineRule="auto" w:line="360"/>
        <w:rPr/>
      </w:pPr>
      <w:r>
        <w:rPr>
          <w:sz w:val="24"/>
        </w:rPr>
        <w:tab/>
        <w:t xml:space="preserve">In particular, it makes no sense at all to use the July 1 date.  As noted in the response to Q.1, at the time the July 1 date was proposed, July 1 was </w:t>
      </w:r>
      <w:r>
        <w:rPr>
          <w:sz w:val="24"/>
          <w:u w:val="single"/>
        </w:rPr>
        <w:t>after</w:t>
      </w:r>
      <w:r>
        <w:rPr>
          <w:sz w:val="24"/>
        </w:rPr>
        <w:t xml:space="preserve"> the date (June 28) the Commission would have issued its decision.  When a decision was held past July 1, the next thing that happened was the issuance on August 15 of a new draft decision for the August 23 agenda that would have suspended contracts signed after August 30.  The </w:t>
      </w:r>
      <w:r>
        <w:rPr>
          <w:sz w:val="24"/>
          <w:u w:val="single"/>
        </w:rPr>
        <w:t>potential</w:t>
      </w:r>
      <w:r>
        <w:rPr>
          <w:sz w:val="24"/>
        </w:rPr>
        <w:t xml:space="preserve"> for abrogation of contracts signed before a Commission decision suspending direct access was not even raised until the issuance of the August 27 draft decision.</w:t>
      </w:r>
    </w:p>
    <w:p>
      <w:pPr>
        <w:pStyle w:val="Normal"/>
        <w:spacing w:lineRule="auto" w:line="360"/>
        <w:rPr>
          <w:sz w:val="24"/>
        </w:rPr>
      </w:pPr>
      <w:r>
        <w:rPr>
          <w:sz w:val="24"/>
        </w:rPr>
      </w:r>
    </w:p>
    <w:p>
      <w:pPr>
        <w:pStyle w:val="BodyText"/>
        <w:spacing w:lineRule="auto" w:line="240"/>
        <w:rPr/>
      </w:pPr>
      <w:r>
        <w:rPr/>
        <w:t>Q.3:  Are there alternatives to suspending direct access as of a date before September 20, 2001, that would still alleviate cost-shifting problems?  What are the pros and cons of these alternatives?  Can the Commission adopt any such proposed alternatives without new legislation?</w:t>
      </w:r>
    </w:p>
    <w:p>
      <w:pPr>
        <w:pStyle w:val="Normal"/>
        <w:spacing w:lineRule="auto" w:line="360"/>
        <w:rPr>
          <w:sz w:val="24"/>
        </w:rPr>
      </w:pPr>
      <w:r>
        <w:rPr>
          <w:sz w:val="24"/>
        </w:rPr>
      </w:r>
    </w:p>
    <w:p>
      <w:pPr>
        <w:pStyle w:val="Normal"/>
        <w:spacing w:lineRule="auto" w:line="360"/>
        <w:rPr>
          <w:sz w:val="24"/>
        </w:rPr>
      </w:pPr>
      <w:r>
        <w:rPr>
          <w:sz w:val="24"/>
        </w:rPr>
        <w:tab/>
        <w:t>As discussed above, it would not be fair, warranted, or lawful to suspend direct access as of a date before September 20.  Therefore, SES is not proposing that the Commission take any steps as a condition of not suspending contracts signed on or before September 20.</w:t>
      </w:r>
    </w:p>
    <w:p>
      <w:pPr>
        <w:pStyle w:val="Normal"/>
        <w:spacing w:lineRule="auto" w:line="360"/>
        <w:rPr>
          <w:sz w:val="24"/>
        </w:rPr>
      </w:pPr>
      <w:r>
        <w:rPr>
          <w:sz w:val="24"/>
        </w:rPr>
      </w:r>
    </w:p>
    <w:p>
      <w:pPr>
        <w:pStyle w:val="Normal"/>
        <w:spacing w:lineRule="auto" w:line="360"/>
        <w:rPr>
          <w:sz w:val="24"/>
        </w:rPr>
      </w:pPr>
      <w:r>
        <w:rPr>
          <w:sz w:val="24"/>
        </w:rPr>
      </w:r>
    </w:p>
    <w:p>
      <w:pPr>
        <w:pStyle w:val="Normal"/>
        <w:spacing w:lineRule="auto" w:line="360"/>
        <w:rPr>
          <w:sz w:val="24"/>
        </w:rPr>
      </w:pPr>
      <w:r>
        <w:rPr>
          <w:sz w:val="24"/>
        </w:rPr>
      </w:r>
    </w:p>
    <w:p>
      <w:pPr>
        <w:pStyle w:val="Normal"/>
        <w:spacing w:lineRule="auto" w:line="360"/>
        <w:rPr>
          <w:sz w:val="24"/>
        </w:rPr>
      </w:pPr>
      <w:r>
        <w:rPr>
          <w:sz w:val="24"/>
        </w:rPr>
      </w:r>
    </w:p>
    <w:p>
      <w:pPr>
        <w:pStyle w:val="BodyText"/>
        <w:spacing w:lineRule="auto" w:line="240"/>
        <w:rPr/>
      </w:pPr>
      <w:r>
        <w:rPr/>
        <w:t>Q.4:  What effect, if any, should be given to renewals of contracts originally entered into prior to the effective date of the Commission’s suspension of direct access?</w:t>
      </w:r>
    </w:p>
    <w:p>
      <w:pPr>
        <w:pStyle w:val="Normal"/>
        <w:spacing w:lineRule="auto" w:line="360"/>
        <w:rPr>
          <w:sz w:val="24"/>
        </w:rPr>
      </w:pPr>
      <w:r>
        <w:rPr>
          <w:sz w:val="24"/>
        </w:rPr>
      </w:r>
    </w:p>
    <w:p>
      <w:pPr>
        <w:pStyle w:val="Normal"/>
        <w:spacing w:lineRule="auto" w:line="360"/>
        <w:rPr>
          <w:sz w:val="24"/>
        </w:rPr>
      </w:pPr>
      <w:r>
        <w:rPr>
          <w:sz w:val="24"/>
        </w:rPr>
        <w:tab/>
        <w:t>Customers who have contracts signed on or before September 20 should be allowed to renew contracts with the same ESP (or the ESP’s successor or assignee) and remain on direct access.</w:t>
      </w:r>
    </w:p>
    <w:p>
      <w:pPr>
        <w:pStyle w:val="Normal"/>
        <w:spacing w:lineRule="auto" w:line="360"/>
        <w:rPr>
          <w:sz w:val="24"/>
        </w:rPr>
      </w:pPr>
      <w:r>
        <w:rPr>
          <w:sz w:val="24"/>
        </w:rPr>
        <w:tab/>
        <w:t>The reason for this treatment is primarily practical.  There are probably a very wide variety of provisions in contracts with ESPs regarding the term of the contract.  Some contracts may provide for a minimum term, and then roll-over indefinitely subject to cancellation on specified notice by one or both parties.  Some contracts may have various external contingencies which affect the term of the contract.  Some contracts may have options for the customer or even the ESP to extend the term.  If renewals are not to be allowed, there will need to be a definition of what constitutes expiration of a contract that requires the customer to return to bundled UDC service.  Drafting rules that define what constitutes the expiration of a contract adequate to address all the possible variations in existing contract provisions would be a daunting and ultimately unsuccessful task.</w:t>
      </w:r>
    </w:p>
    <w:p>
      <w:pPr>
        <w:pStyle w:val="Normal"/>
        <w:spacing w:lineRule="auto" w:line="360"/>
        <w:ind w:firstLine="720" w:end="0"/>
        <w:rPr>
          <w:sz w:val="24"/>
        </w:rPr>
      </w:pPr>
      <w:r>
        <w:rPr>
          <w:sz w:val="24"/>
        </w:rPr>
        <w:t>Moreover, enforcing any such rule would prove wholly impractical and not worth the effort of the Commission and other parties.  The only way to even possibly enforce this rule would be to have the contracts disclosed to some enforcement agent, whether that be the Commission, the UDCs, or some third party.  This is an unwarranted intrusion into a contractual relationship not regulated by the Commission and invasion of commercial confidentiality.  SES believes that it is typical in the industry, and it is the case with SES’s contracts with customers, that they contain provisions prohibiting either party from disclosing the contents of the contract unless compelled by law and requiring the parties to seek protection from disclosure to the extent permitted by law.  SES and other ESPs would not have the unilateral right to disclose their contracts to any enforcement agent.</w:t>
      </w:r>
    </w:p>
    <w:p>
      <w:pPr>
        <w:pStyle w:val="Normal"/>
        <w:spacing w:lineRule="auto" w:line="360"/>
        <w:ind w:firstLine="720" w:end="0"/>
        <w:rPr>
          <w:sz w:val="24"/>
        </w:rPr>
      </w:pPr>
      <w:r>
        <w:rPr>
          <w:sz w:val="24"/>
        </w:rPr>
        <w:t>Even once the contract had been disclosed to the enforcement agent, it would lead to litigation in many cases over the application of the rules to individual contracts.  This morass is not justified by any alleged public benefits from forcing customers back on bundled service against their desires at the earliest possible date.</w:t>
      </w:r>
    </w:p>
    <w:p>
      <w:pPr>
        <w:pStyle w:val="Normal"/>
        <w:spacing w:lineRule="auto" w:line="360"/>
        <w:ind w:firstLine="720" w:end="0"/>
        <w:rPr>
          <w:sz w:val="24"/>
        </w:rPr>
      </w:pPr>
      <w:r>
        <w:rPr>
          <w:sz w:val="24"/>
        </w:rPr>
        <w:t>SES suggests that renewal be allowed only with the original ESP (or its successor or assignee).  It is feasible to enforce a prohibition on renewal when the customer wishes to change to a different ESP, since the identity of the serving ESP is always known to the UDC.  SES does not claim that the Contract Clause requires that contracts be renewed if they expire after the date of a law or administrative decision prohibiting such kinds of contracts.</w:t>
      </w:r>
    </w:p>
    <w:p>
      <w:pPr>
        <w:pStyle w:val="Normal"/>
        <w:spacing w:lineRule="auto" w:line="360"/>
        <w:rPr>
          <w:sz w:val="24"/>
        </w:rPr>
      </w:pPr>
      <w:r>
        <w:rPr>
          <w:sz w:val="24"/>
        </w:rPr>
      </w:r>
    </w:p>
    <w:p>
      <w:pPr>
        <w:pStyle w:val="BodyText2"/>
        <w:spacing w:lineRule="auto" w:line="240"/>
        <w:rPr>
          <w:b/>
          <w:bCs/>
        </w:rPr>
      </w:pPr>
      <w:r>
        <w:rPr>
          <w:b/>
          <w:bCs/>
        </w:rPr>
        <w:t>Q.5:  What effect, if any, should be given to provisions in contracts (“add-on provisions”) that allow the buyer to add more facilities to be served after the date on which direct access is suspended?</w:t>
      </w:r>
    </w:p>
    <w:p>
      <w:pPr>
        <w:pStyle w:val="Normal"/>
        <w:spacing w:lineRule="auto" w:line="360"/>
        <w:rPr>
          <w:b/>
          <w:bCs/>
          <w:sz w:val="24"/>
        </w:rPr>
      </w:pPr>
      <w:r>
        <w:rPr>
          <w:b/>
          <w:bCs/>
          <w:sz w:val="24"/>
        </w:rPr>
      </w:r>
    </w:p>
    <w:p>
      <w:pPr>
        <w:pStyle w:val="Normal"/>
        <w:spacing w:lineRule="auto" w:line="360"/>
        <w:rPr>
          <w:sz w:val="24"/>
        </w:rPr>
      </w:pPr>
      <w:r>
        <w:rPr>
          <w:sz w:val="24"/>
        </w:rPr>
        <w:tab/>
        <w:t>A customer with a contract signed with an ESP on or before September 20, 2001, should be allowed to add more facilities on direct access after September 20, 2001.</w:t>
      </w:r>
    </w:p>
    <w:p>
      <w:pPr>
        <w:pStyle w:val="Normal"/>
        <w:spacing w:lineRule="auto" w:line="360"/>
        <w:rPr>
          <w:sz w:val="24"/>
        </w:rPr>
      </w:pPr>
      <w:r>
        <w:rPr>
          <w:sz w:val="24"/>
        </w:rPr>
        <w:tab/>
        <w:t>It would be unfair and unlawful to customers and ESPs not to allow exercise of this right if it is provided in a pre-September 20 contract.  Any such right is clearly a valuable right for the customer or the ESP that was obtained through the bargaining that produced the contract signed on or before September 20.  The customer may be paying the ESP a higher price for sites already served at direct access by September 20 in exchange for the right to put more sites to the ESP at a fixed price or fixed price formula.  The customer should not be denied what he is paying for.  The ESP may also have relied on the right of its customers to put more sites to it by contracting for power to be delivered in the future at the level of demand it expects its customer to demand.  The ESP may have negotiated for the right to serve additional sites if the customer adds facilities.</w:t>
      </w:r>
    </w:p>
    <w:p>
      <w:pPr>
        <w:pStyle w:val="Normal"/>
        <w:spacing w:lineRule="auto" w:line="360"/>
        <w:rPr>
          <w:sz w:val="24"/>
        </w:rPr>
      </w:pPr>
      <w:r>
        <w:rPr>
          <w:sz w:val="24"/>
        </w:rPr>
        <w:tab/>
        <w:t>SES proposes that the Commission allow add-ons by a customer with its pre-September 20 ESP without examining the contract to see whether it is a right of either party, or merely subject to mutual agreement.  To make it depend on such a distinction would require contract disclosure and engender extensive litigation.</w:t>
      </w:r>
    </w:p>
    <w:p>
      <w:pPr>
        <w:pStyle w:val="Normal"/>
        <w:spacing w:lineRule="auto" w:line="360"/>
        <w:rPr>
          <w:sz w:val="24"/>
        </w:rPr>
      </w:pPr>
      <w:r>
        <w:rPr>
          <w:sz w:val="24"/>
        </w:rPr>
        <w:tab/>
        <w:t>However, it would be reasonable not to let the ability to add-on sites go so far as to interfere with the purposes for which AB 1X authorized the suspension of direct access.  These purposes are not to interfere with the sale of DWR bonds authorized under AB 1X and not to threaten DWR’s ability to recover its cost of power purchased under AB 1X.  Therefore, if in the future the Commission found on the basis of credible record evidence that the continued ability of customers who had pre-September 20 contracts to add-on additional sites was causing so much growth in direct access load as to interfere with DWR bond issuance or cost recovery, it would be reasonable for the Commission to impose a cut-off date, at a fixed date after the issuance of such a Commission decision, after which new “add-on” DASRs could not be submitted.  However, if the pre-September 20 contract provided either party with a right to add-on sites, this right should still be honored.</w:t>
      </w:r>
    </w:p>
    <w:p>
      <w:pPr>
        <w:pStyle w:val="Normal"/>
        <w:spacing w:lineRule="auto" w:line="360"/>
        <w:rPr>
          <w:sz w:val="24"/>
        </w:rPr>
      </w:pPr>
      <w:r>
        <w:rPr>
          <w:sz w:val="24"/>
        </w:rPr>
      </w:r>
    </w:p>
    <w:p>
      <w:pPr>
        <w:pStyle w:val="Normal"/>
        <w:rPr>
          <w:b/>
          <w:bCs/>
          <w:sz w:val="24"/>
        </w:rPr>
      </w:pPr>
      <w:r>
        <w:rPr>
          <w:b/>
          <w:bCs/>
          <w:sz w:val="24"/>
        </w:rPr>
        <w:t>Q.7:  If any party has in its possession any of the following, please provide:</w:t>
      </w:r>
    </w:p>
    <w:p>
      <w:pPr>
        <w:pStyle w:val="Normal"/>
        <w:numPr>
          <w:ilvl w:val="0"/>
          <w:numId w:val="4"/>
        </w:numPr>
        <w:rPr>
          <w:b/>
          <w:bCs/>
          <w:sz w:val="24"/>
        </w:rPr>
      </w:pPr>
      <w:r>
        <w:rPr>
          <w:b/>
          <w:bCs/>
          <w:sz w:val="24"/>
        </w:rPr>
        <w:t>Copies of various types of contracts executed or agreements entered into between electric service providers and direct access customers [footnote omitted]</w:t>
      </w:r>
    </w:p>
    <w:p>
      <w:pPr>
        <w:pStyle w:val="Normal"/>
        <w:numPr>
          <w:ilvl w:val="0"/>
          <w:numId w:val="4"/>
        </w:numPr>
        <w:rPr>
          <w:b/>
          <w:bCs/>
          <w:sz w:val="24"/>
        </w:rPr>
      </w:pPr>
      <w:r>
        <w:rPr>
          <w:b/>
          <w:bCs/>
          <w:sz w:val="24"/>
        </w:rPr>
        <w:t>Copies of various types of contracts or agreements offered but not executed or entered into between electric service providers and direct access customers [footnote omitted]</w:t>
      </w:r>
    </w:p>
    <w:p>
      <w:pPr>
        <w:pStyle w:val="Normal"/>
        <w:numPr>
          <w:ilvl w:val="0"/>
          <w:numId w:val="4"/>
        </w:numPr>
        <w:rPr>
          <w:b/>
          <w:bCs/>
          <w:sz w:val="24"/>
        </w:rPr>
      </w:pPr>
      <w:r>
        <w:rPr>
          <w:b/>
          <w:bCs/>
          <w:sz w:val="24"/>
        </w:rPr>
        <w:t>Copies of blank direct access contracts, not otherwise provided in 7a or 7b.</w:t>
      </w:r>
    </w:p>
    <w:p>
      <w:pPr>
        <w:pStyle w:val="Normal"/>
        <w:ind w:start="720" w:end="0"/>
        <w:rPr>
          <w:b/>
          <w:bCs/>
          <w:sz w:val="24"/>
        </w:rPr>
      </w:pPr>
      <w:r>
        <w:rPr>
          <w:b/>
          <w:bCs/>
          <w:sz w:val="24"/>
        </w:rPr>
      </w:r>
    </w:p>
    <w:p>
      <w:pPr>
        <w:pStyle w:val="Normal"/>
        <w:rPr>
          <w:b/>
          <w:bCs/>
          <w:sz w:val="24"/>
        </w:rPr>
      </w:pPr>
      <w:r>
        <w:rPr>
          <w:b/>
          <w:bCs/>
          <w:sz w:val="24"/>
        </w:rPr>
        <w:t>Q.8.  For electric service providers:</w:t>
      </w:r>
    </w:p>
    <w:p>
      <w:pPr>
        <w:pStyle w:val="Normal"/>
        <w:numPr>
          <w:ilvl w:val="0"/>
          <w:numId w:val="2"/>
        </w:numPr>
        <w:rPr>
          <w:b/>
          <w:bCs/>
          <w:sz w:val="24"/>
        </w:rPr>
      </w:pPr>
      <w:r>
        <w:rPr>
          <w:b/>
          <w:bCs/>
          <w:sz w:val="24"/>
        </w:rPr>
        <w:t>How many contracts have you executed or entered into with direct access customers between January 17, 2001 and September 20, 2001?  How much load is contracted for in each of these contracts?  Please provide the information by dates of execution.</w:t>
      </w:r>
    </w:p>
    <w:p>
      <w:pPr>
        <w:pStyle w:val="Normal"/>
        <w:numPr>
          <w:ilvl w:val="0"/>
          <w:numId w:val="2"/>
        </w:numPr>
        <w:rPr>
          <w:b/>
          <w:bCs/>
          <w:sz w:val="24"/>
        </w:rPr>
      </w:pPr>
      <w:r>
        <w:rPr>
          <w:b/>
          <w:bCs/>
          <w:sz w:val="24"/>
        </w:rPr>
        <w:t>What percentage of your total direct access contracts contains any renewal provision?  What percentage of your total direct access contracts contains any add-on provision?</w:t>
      </w:r>
    </w:p>
    <w:p>
      <w:pPr>
        <w:pStyle w:val="Normal"/>
        <w:spacing w:lineRule="auto" w:line="360"/>
        <w:rPr>
          <w:b/>
          <w:bCs/>
          <w:sz w:val="24"/>
        </w:rPr>
      </w:pPr>
      <w:r>
        <w:rPr>
          <w:b/>
          <w:bCs/>
          <w:sz w:val="24"/>
        </w:rPr>
      </w:r>
    </w:p>
    <w:p>
      <w:pPr>
        <w:pStyle w:val="BodyTextIndent2"/>
        <w:rPr/>
      </w:pPr>
      <w:r>
        <w:rPr/>
        <w:t>A response by SES to the two questions above will not assist the Commission in its decisionmaking in this proceeding, but detailed information responsive the request is available to the Commission from the UDCs without causing harm to individual ESPs or their customers.  The Commission can use information already filed by the UDCs with it on a confidential basis, or ask the UDCs to provide additional information in their possession if necessary.</w:t>
      </w:r>
    </w:p>
    <w:p>
      <w:pPr>
        <w:pStyle w:val="Normal"/>
        <w:tabs>
          <w:tab w:val="clear" w:pos="720"/>
          <w:tab w:val="left" w:pos="0" w:leader="none"/>
        </w:tabs>
        <w:spacing w:lineRule="auto" w:line="360"/>
        <w:ind w:firstLine="720" w:end="0"/>
        <w:rPr>
          <w:sz w:val="24"/>
        </w:rPr>
      </w:pPr>
      <w:r>
        <w:rPr>
          <w:sz w:val="24"/>
        </w:rPr>
        <w:t>Only a fraction of the numerous ESPs serving customers of PG&amp;E, SCE, and SDG&amp;E are parties to this proceeding.  To a significant extent, ESPs are not participating individually, but their interests are represented by an association or associations that would not have access to individual ESP contracts and related data.  The same is true with respect to customers of ESPs who are parties to this proceeding.  Thus, even if all parties to this proceeding provided all of the information they possess described above, the Commission would still not have in those responses anywhere near enough information about the entire market to assess the impacts of any particular action that it might take in terms of a suspension date earlier than September 20, or prohibition of renewals or add-ons.  Furthermore, SES has reason to believe that at least a significant number of other ESPs and customers who are parties do not intend to respond to these two questions.  In that case, a response by SES would be even more clearly not useful to the Commission’s decisionmaking process.</w:t>
      </w:r>
    </w:p>
    <w:p>
      <w:pPr>
        <w:pStyle w:val="Normal"/>
        <w:tabs>
          <w:tab w:val="clear" w:pos="720"/>
          <w:tab w:val="left" w:pos="0" w:leader="none"/>
        </w:tabs>
        <w:spacing w:lineRule="auto" w:line="360"/>
        <w:ind w:firstLine="720" w:end="0"/>
        <w:rPr>
          <w:sz w:val="24"/>
        </w:rPr>
      </w:pPr>
      <w:r>
        <w:rPr>
          <w:sz w:val="24"/>
        </w:rPr>
        <w:t>On the other hand, ESPs including SES and their customers would be harmed if they provided the information described above in the manner requested.  SES appreciates that the ruling allowed the redaction of customer name and address and pricing information in a response.  Unfortunately, ESPs and their customers would be harmed if they provided the information even with these redactions.  The wording of ESP contracts is the product of very substantial efforts by attorneys and managers for the ESP.  Such contracts, including in “standard form” format, are closely held by ESPs so that they cannot be “borrowed” by competitors without cost to the competitors.  Furthermore, the disclosure of the information requested would provide sensitive information about ESP customers that would be available to the customers’ competitors.  For this reason, SES’s contracts require SES not to disclose contract terms voluntarily and to as permitted by law to limit disclosure from being compelled, without the consent of the customers.</w:t>
      </w:r>
    </w:p>
    <w:p>
      <w:pPr>
        <w:pStyle w:val="Normal"/>
        <w:tabs>
          <w:tab w:val="clear" w:pos="720"/>
          <w:tab w:val="left" w:pos="0" w:leader="none"/>
        </w:tabs>
        <w:spacing w:lineRule="auto" w:line="360"/>
        <w:ind w:firstLine="720" w:end="0"/>
        <w:rPr>
          <w:sz w:val="24"/>
        </w:rPr>
      </w:pPr>
      <w:r>
        <w:rPr>
          <w:sz w:val="24"/>
        </w:rPr>
        <w:t>In addition, the Commission should be sensitive to the fact that the statutory scheme for electric regulation has not made contracts between ESPs and their customers subject to Commission regulation.  The Commission has not previously required ESPs or their customers to disclose contract terms to the Commission or to the UDCs, and a deviation from that treatment is not appropriate in this circumstance either.</w:t>
      </w:r>
    </w:p>
    <w:p>
      <w:pPr>
        <w:pStyle w:val="Normal"/>
        <w:spacing w:lineRule="auto" w:line="360"/>
        <w:rPr>
          <w:sz w:val="24"/>
        </w:rPr>
      </w:pPr>
      <w:r>
        <w:rPr>
          <w:sz w:val="24"/>
        </w:rPr>
        <w:tab/>
        <w:t>Appendix A to Commissioner Wood’s ruling demonstrates the kind of detailed information on a complete statewide basis about direct access participation that is available to the Commission from the monthly reports filed by each UDC.  To the extent that information shown in Appendix A is needed by the Commission broken down by individual ESP, SES understands that information is already filed monthly by the UDCs with the Commission on a confidential basis.  To the extent that the Commission wants information of the type shown in Appendix A (including by ESP) broken down for periods within particular months, this information is in the possession of the UDCs and could be provided to the Commission by them.  SES does not know what information that might be useful to a decision in this proceeding is not available to the Commission from the UDCs, and on a basis that is far more complete than by canvassing the limited number of parties to this proceeding.</w:t>
      </w:r>
    </w:p>
    <w:p>
      <w:pPr>
        <w:pStyle w:val="Heading3"/>
        <w:ind w:hanging="0" w:start="0"/>
        <w:rPr>
          <w:b/>
          <w:bCs/>
        </w:rPr>
      </w:pPr>
      <w:r>
        <w:rPr>
          <w:b/>
          <w:bCs/>
        </w:rPr>
        <w:t>Conclusion</w:t>
      </w:r>
    </w:p>
    <w:p>
      <w:pPr>
        <w:pStyle w:val="Normal"/>
        <w:spacing w:lineRule="auto" w:line="360"/>
        <w:jc w:val="center"/>
        <w:rPr>
          <w:b/>
          <w:bCs/>
          <w:sz w:val="24"/>
        </w:rPr>
      </w:pPr>
      <w:r>
        <w:rPr>
          <w:b/>
          <w:bCs/>
          <w:sz w:val="24"/>
        </w:rPr>
      </w:r>
    </w:p>
    <w:p>
      <w:pPr>
        <w:pStyle w:val="Normal"/>
        <w:spacing w:lineRule="auto" w:line="360"/>
        <w:rPr>
          <w:sz w:val="24"/>
        </w:rPr>
      </w:pPr>
      <w:r>
        <w:rPr>
          <w:sz w:val="24"/>
        </w:rPr>
        <w:tab/>
        <w:t>Common-sense fairness dictates that the Commission should not upset the reasonable and substantial reliance of customers of ESPs and the ESPs on contracts that were entirely lawful and consistent with regulation at the time they were signed.  The Commission need not and should not incur the continued litigation that would result from attempting to suspend direct access under contracts signed before September 20.  It should allow renewals of contracts by customers with the same ESP (or their successors or assignees) with whom the signed contracts on or before September 20.  It should allow the submission of DASRs with the same ESP for additional sites for service by customers with a pre-September 20 contract, subject to a possible future cut-off date for add-on DASRs if there is an increase in load that jeopardizes the purposes of AB 1X.</w:t>
      </w:r>
    </w:p>
    <w:p>
      <w:pPr>
        <w:pStyle w:val="Normal"/>
        <w:spacing w:lineRule="auto" w:line="360"/>
        <w:rPr>
          <w:sz w:val="24"/>
        </w:rPr>
      </w:pPr>
      <w:r>
        <w:rPr>
          <w:sz w:val="24"/>
        </w:rPr>
        <w:tab/>
        <w:tab/>
        <w:tab/>
        <w:tab/>
        <w:tab/>
        <w:t>Respectfully submitted,</w:t>
      </w:r>
    </w:p>
    <w:p>
      <w:pPr>
        <w:pStyle w:val="Normal"/>
        <w:spacing w:lineRule="auto" w:line="360"/>
        <w:rPr>
          <w:sz w:val="24"/>
        </w:rPr>
      </w:pPr>
      <w:r>
        <w:rPr>
          <w:sz w:val="24"/>
        </w:rPr>
        <w:tab/>
        <w:tab/>
        <w:tab/>
        <w:tab/>
        <w:tab/>
        <w:t>SEMPRA ENERGY SOLUTIONS</w:t>
      </w:r>
    </w:p>
    <w:p>
      <w:pPr>
        <w:pStyle w:val="Normal"/>
        <w:spacing w:lineRule="auto" w:line="360"/>
        <w:rPr>
          <w:sz w:val="24"/>
        </w:rPr>
      </w:pPr>
      <w:r>
        <w:rPr>
          <w:sz w:val="24"/>
        </w:rPr>
      </w:r>
    </w:p>
    <w:p>
      <w:pPr>
        <w:pStyle w:val="Normal"/>
        <w:spacing w:lineRule="auto" w:line="360"/>
        <w:rPr>
          <w:sz w:val="24"/>
        </w:rPr>
      </w:pPr>
      <w:r>
        <w:rPr>
          <w:sz w:val="24"/>
        </w:rPr>
        <w:t>November 2, 2001</w:t>
        <w:tab/>
        <w:tab/>
        <w:tab/>
        <w:t>By: ___________________________</w:t>
      </w:r>
    </w:p>
    <w:p>
      <w:pPr>
        <w:pStyle w:val="Normal"/>
        <w:spacing w:lineRule="auto" w:line="360"/>
        <w:rPr>
          <w:sz w:val="24"/>
        </w:rPr>
      </w:pPr>
      <w:r>
        <w:rPr>
          <w:sz w:val="24"/>
        </w:rPr>
        <w:tab/>
        <w:tab/>
        <w:tab/>
        <w:tab/>
        <w:tab/>
        <w:tab/>
        <w:t>Glen J. Sullivan</w:t>
      </w:r>
    </w:p>
    <w:p>
      <w:pPr>
        <w:pStyle w:val="Normal"/>
        <w:spacing w:lineRule="auto" w:line="360"/>
        <w:rPr>
          <w:sz w:val="24"/>
        </w:rPr>
      </w:pPr>
      <w:r>
        <w:rPr>
          <w:sz w:val="24"/>
        </w:rPr>
      </w:r>
    </w:p>
    <w:p>
      <w:pPr>
        <w:pStyle w:val="Normal"/>
        <w:rPr>
          <w:sz w:val="24"/>
        </w:rPr>
      </w:pPr>
      <w:r>
        <w:rPr>
          <w:sz w:val="24"/>
        </w:rPr>
        <w:tab/>
        <w:tab/>
        <w:tab/>
        <w:tab/>
        <w:tab/>
        <w:t>Sempra Energy Law Department</w:t>
      </w:r>
    </w:p>
    <w:p>
      <w:pPr>
        <w:pStyle w:val="Normal"/>
        <w:rPr>
          <w:sz w:val="24"/>
        </w:rPr>
      </w:pPr>
      <w:r>
        <w:rPr>
          <w:sz w:val="24"/>
        </w:rPr>
        <w:tab/>
        <w:tab/>
        <w:tab/>
        <w:tab/>
        <w:tab/>
        <w:t>101 Ash Street</w:t>
      </w:r>
    </w:p>
    <w:p>
      <w:pPr>
        <w:pStyle w:val="Normal"/>
        <w:rPr>
          <w:sz w:val="24"/>
        </w:rPr>
      </w:pPr>
      <w:r>
        <w:rPr>
          <w:sz w:val="24"/>
        </w:rPr>
        <w:tab/>
        <w:tab/>
        <w:tab/>
        <w:tab/>
        <w:tab/>
        <w:t>San Diego, CA  92101</w:t>
      </w:r>
    </w:p>
    <w:p>
      <w:pPr>
        <w:pStyle w:val="Heading2"/>
        <w:ind w:hanging="0" w:start="0"/>
        <w:rPr/>
      </w:pPr>
      <w:r>
        <w:rPr/>
        <w:tab/>
        <w:tab/>
        <w:tab/>
        <w:tab/>
        <w:tab/>
        <w:t>Telephone:  (619) 699-5162</w:t>
      </w:r>
    </w:p>
    <w:p>
      <w:pPr>
        <w:pStyle w:val="Normal"/>
        <w:rPr>
          <w:sz w:val="24"/>
        </w:rPr>
      </w:pPr>
      <w:r>
        <w:rPr>
          <w:sz w:val="24"/>
        </w:rPr>
        <w:tab/>
        <w:tab/>
        <w:tab/>
        <w:tab/>
        <w:tab/>
        <w:t>Fax:  (619) 699-5027</w:t>
      </w:r>
    </w:p>
    <w:p>
      <w:pPr>
        <w:pStyle w:val="Normal"/>
        <w:rPr>
          <w:sz w:val="24"/>
        </w:rPr>
      </w:pPr>
      <w:r>
        <w:rPr>
          <w:sz w:val="24"/>
        </w:rPr>
        <w:tab/>
        <w:tab/>
        <w:tab/>
        <w:tab/>
        <w:tab/>
        <w:t xml:space="preserve">Email:  </w:t>
      </w:r>
      <w:hyperlink r:id="rId5">
        <w:r>
          <w:rPr>
            <w:rStyle w:val="Hyperlink"/>
          </w:rPr>
          <w:t>gsullivan@sempra.com</w:t>
        </w:r>
      </w:hyperlink>
    </w:p>
    <w:p>
      <w:pPr>
        <w:pStyle w:val="Normal"/>
        <w:rPr>
          <w:sz w:val="24"/>
        </w:rPr>
      </w:pPr>
      <w:r>
        <w:rPr>
          <w:sz w:val="24"/>
        </w:rPr>
        <w:tab/>
        <w:tab/>
        <w:tab/>
        <w:tab/>
        <w:tab/>
        <w:t>Attorney for</w:t>
      </w:r>
    </w:p>
    <w:p>
      <w:pPr>
        <w:pStyle w:val="Normal"/>
        <w:rPr>
          <w:sz w:val="24"/>
        </w:rPr>
      </w:pPr>
      <w:r>
        <w:rPr>
          <w:sz w:val="24"/>
        </w:rPr>
        <w:tab/>
        <w:tab/>
        <w:tab/>
        <w:tab/>
        <w:tab/>
        <w:t>SEMPRA ENERGY SOLUTIONS</w:t>
      </w:r>
    </w:p>
    <w:sectPr>
      <w:footerReference w:type="default" r:id="rId6"/>
      <w:footerReference w:type="first" r:id="rId7"/>
      <w:footnotePr>
        <w:numFmt w:val="decimal"/>
      </w:footnotePr>
      <w:type w:val="nextPage"/>
      <w:pgSz w:w="12240" w:h="15840"/>
      <w:pgMar w:left="1800" w:right="180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etica">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74295"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74295"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85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6">
              <wp:simplePos x="0" y="0"/>
              <wp:positionH relativeFrom="margin">
                <wp:align>center</wp:align>
              </wp:positionH>
              <wp:positionV relativeFrom="paragraph">
                <wp:posOffset>635</wp:posOffset>
              </wp:positionV>
              <wp:extent cx="127635" cy="146685"/>
              <wp:effectExtent l="0" t="0" r="0" b="0"/>
              <wp:wrapSquare wrapText="bothSides"/>
              <wp:docPr id="2" name="Frame3"/>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211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SES previously advocated that, if the Commission were to suspend direct access at all, it should do so by imposing a cut-off date, at a fixed time in the future, on acceptance of new DASRs.  The Commission in D.01-09-060 and D.01-10-036 rejected this approach in favor of basing the cut-off on the date of signing of contracts between ESPs and their customers.  For purposes of these comments, SES is assuming the Commission will not reconsider this issue, although SES believes it should.</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080"/>
        </w:tabs>
        <w:ind w:start="1080" w:hanging="360"/>
      </w:pPr>
      <w:rPr/>
    </w:lvl>
  </w:abstractNum>
  <w:abstractNum w:abstractNumId="3">
    <w:lvl w:ilvl="0">
      <w:start w:val="1"/>
      <w:numFmt w:val="upperLetter"/>
      <w:lvlText w:val="%1."/>
      <w:lvlJc w:val="start"/>
      <w:pPr>
        <w:tabs>
          <w:tab w:val="num" w:pos="720"/>
        </w:tabs>
        <w:ind w:start="720" w:hanging="360"/>
      </w:pPr>
      <w:rPr/>
    </w:lvl>
    <w:lvl w:ilvl="1">
      <w:start w:val="1"/>
      <w:numFmt w:val="decimal"/>
      <w:lvlText w:val="%2."/>
      <w:lvlJc w:val="start"/>
      <w:pPr>
        <w:tabs>
          <w:tab w:val="num" w:pos="2100"/>
        </w:tabs>
        <w:ind w:start="2100" w:hanging="1020"/>
      </w:pPr>
      <w:rPr/>
    </w:lvl>
    <w:lvl w:ilvl="2">
      <w:start w:val="1"/>
      <w:numFmt w:val="lowerLetter"/>
      <w:lvlText w:val="%3."/>
      <w:lvlJc w:val="start"/>
      <w:pPr>
        <w:tabs>
          <w:tab w:val="num" w:pos="2340"/>
        </w:tabs>
        <w:ind w:start="2340" w:hanging="360"/>
      </w:pPr>
      <w:r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4">
    <w:lvl w:ilvl="0">
      <w:start w:val="1"/>
      <w:numFmt w:val="lowerLetter"/>
      <w:lvlText w:val="%1."/>
      <w:lvlJc w:val="start"/>
      <w:pPr>
        <w:tabs>
          <w:tab w:val="num" w:pos="1080"/>
        </w:tabs>
        <w:ind w:start="108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sz w:val="24"/>
    </w:rPr>
  </w:style>
  <w:style w:type="paragraph" w:styleId="Heading2">
    <w:name w:val="heading 2"/>
    <w:basedOn w:val="Normal"/>
    <w:next w:val="Normal"/>
    <w:qFormat/>
    <w:pPr>
      <w:keepNext w:val="true"/>
      <w:numPr>
        <w:ilvl w:val="1"/>
        <w:numId w:val="1"/>
      </w:numPr>
      <w:outlineLvl w:val="1"/>
    </w:pPr>
    <w:rPr>
      <w:sz w:val="24"/>
    </w:rPr>
  </w:style>
  <w:style w:type="paragraph" w:styleId="Heading3">
    <w:name w:val="heading 3"/>
    <w:basedOn w:val="Normal"/>
    <w:next w:val="Normal"/>
    <w:qFormat/>
    <w:pPr>
      <w:keepNext w:val="true"/>
      <w:numPr>
        <w:ilvl w:val="2"/>
        <w:numId w:val="1"/>
      </w:numPr>
      <w:spacing w:lineRule="auto" w:line="360"/>
      <w:jc w:val="center"/>
      <w:outlineLvl w:val="2"/>
    </w:pPr>
    <w:rPr>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llowedHyperlink">
    <w:name w:val="FollowedHyperlink"/>
    <w:basedOn w:val="DefaultParagraphFont"/>
    <w:rPr>
      <w:color w:val="800080"/>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360"/>
    </w:pPr>
    <w:rPr>
      <w:b/>
      <w:bCs/>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itlebar">
    <w:name w:val="title bar"/>
    <w:basedOn w:val="Normal"/>
    <w:qFormat/>
    <w:pPr>
      <w:keepNext w:val="true"/>
      <w:suppressAutoHyphens w:val="true"/>
      <w:jc w:val="center"/>
    </w:pPr>
    <w:rPr>
      <w:rFonts w:ascii="Helvetica;Arial" w:hAnsi="Helvetica;Arial" w:cs="Helvetica;Arial"/>
      <w:b/>
      <w:sz w:val="26"/>
    </w:rPr>
  </w:style>
  <w:style w:type="paragraph" w:styleId="BodyTextIndent">
    <w:name w:val="Body Text Indent"/>
    <w:basedOn w:val="Normal"/>
    <w:pPr>
      <w:ind w:hanging="702" w:start="702" w:end="0"/>
    </w:pPr>
    <w:rPr>
      <w:sz w:val="24"/>
    </w:rPr>
  </w:style>
  <w:style w:type="paragraph" w:styleId="FootnoteText">
    <w:name w:val="footnote text"/>
    <w:basedOn w:val="Normal"/>
    <w:pPr/>
    <w:rPr/>
  </w:style>
  <w:style w:type="paragraph" w:styleId="BodyTextIndent3">
    <w:name w:val="Body Text Indent 3"/>
    <w:basedOn w:val="Normal"/>
    <w:qFormat/>
    <w:pPr>
      <w:spacing w:lineRule="auto" w:line="360"/>
      <w:ind w:firstLine="720" w:start="0" w:end="0"/>
    </w:pPr>
    <w:rPr>
      <w:b/>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tabs>
        <w:tab w:val="clear" w:pos="720"/>
        <w:tab w:val="left" w:pos="0" w:leader="none"/>
      </w:tabs>
      <w:spacing w:lineRule="auto" w:line="360"/>
      <w:ind w:firstLine="720" w:start="0" w:end="0"/>
    </w:pPr>
    <w:rPr>
      <w:sz w:val="24"/>
    </w:rPr>
  </w:style>
  <w:style w:type="paragraph" w:styleId="BlockText">
    <w:name w:val="Block Text"/>
    <w:basedOn w:val="Normal"/>
    <w:qFormat/>
    <w:pPr>
      <w:ind w:hanging="0" w:start="720" w:end="720"/>
    </w:pPr>
    <w:rPr>
      <w:sz w:val="24"/>
    </w:rPr>
  </w:style>
  <w:style w:type="paragraph" w:styleId="BodyText2">
    <w:name w:val="Body Text 2"/>
    <w:basedOn w:val="Normal"/>
    <w:qFormat/>
    <w:pPr>
      <w:spacing w:lineRule="auto" w:line="360"/>
    </w:pPr>
    <w:rPr>
      <w:sz w:val="24"/>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gsullivan@sempra.com" TargetMode="Externa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hyperlink" Target="mailto:gsullivan@sempra.com" TargetMode="Externa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872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2001-10-30T15:38:00Z</dcterms:created>
  <dc:creator>Sempra Energy</dc:creator>
  <dc:description/>
  <dc:language>en-CA</dc:language>
  <cp:lastModifiedBy>Lisa Fucci-Ortiz</cp:lastModifiedBy>
  <dcterms:modified xsi:type="dcterms:W3CDTF">2001-11-02T21:28:00Z</dcterms:modified>
  <cp:revision>12</cp:revision>
  <dc:subject/>
  <dc:title>BEFORE THE PUBLIC UTILITIES COMMISSION OF </dc:title>
</cp:coreProperties>
</file>