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cs="Arial"/>
          <w:sz w:val="24"/>
        </w:rPr>
      </w:pPr>
      <w:r>
        <w:rPr>
          <w:rFonts w:cs="Arial"/>
          <w:sz w:val="24"/>
        </w:rPr>
        <w:t>Term Sheet</w:t>
      </w:r>
    </w:p>
    <w:p>
      <w:pPr>
        <w:pStyle w:val="Normal"/>
        <w:jc w:val="center"/>
        <w:rPr>
          <w:rFonts w:ascii="Arial" w:hAnsi="Arial" w:cs="Arial"/>
          <w:b/>
          <w:sz w:val="24"/>
        </w:rPr>
      </w:pPr>
      <w:r>
        <w:rPr>
          <w:rFonts w:cs="Arial" w:ascii="Arial" w:hAnsi="Arial"/>
          <w:b/>
          <w:sz w:val="24"/>
        </w:rPr>
        <w:t>To</w:t>
      </w:r>
    </w:p>
    <w:p>
      <w:pPr>
        <w:pStyle w:val="Normal"/>
        <w:jc w:val="center"/>
        <w:rPr>
          <w:rFonts w:ascii="Arial" w:hAnsi="Arial" w:cs="Arial"/>
          <w:b/>
          <w:sz w:val="24"/>
        </w:rPr>
      </w:pPr>
      <w:r>
        <w:rPr>
          <w:rFonts w:cs="Arial" w:ascii="Arial" w:hAnsi="Arial"/>
          <w:b/>
          <w:sz w:val="24"/>
        </w:rPr>
        <w:t>Southeastern Power Administration (“SEPA”)</w:t>
      </w:r>
    </w:p>
    <w:p>
      <w:pPr>
        <w:pStyle w:val="Normal"/>
        <w:jc w:val="center"/>
        <w:rPr>
          <w:rFonts w:ascii="Arial" w:hAnsi="Arial" w:cs="Arial"/>
          <w:b/>
          <w:sz w:val="24"/>
        </w:rPr>
      </w:pPr>
      <w:r>
        <w:rPr>
          <w:rFonts w:cs="Arial" w:ascii="Arial" w:hAnsi="Arial"/>
          <w:b/>
          <w:sz w:val="24"/>
        </w:rPr>
        <w:t>By</w:t>
      </w:r>
    </w:p>
    <w:p>
      <w:pPr>
        <w:pStyle w:val="Normal"/>
        <w:jc w:val="center"/>
        <w:rPr>
          <w:rFonts w:ascii="Arial" w:hAnsi="Arial" w:cs="Arial"/>
          <w:b/>
          <w:sz w:val="24"/>
        </w:rPr>
      </w:pPr>
      <w:r>
        <w:rPr>
          <w:rFonts w:cs="Arial" w:ascii="Arial" w:hAnsi="Arial"/>
          <w:b/>
          <w:sz w:val="24"/>
        </w:rPr>
        <w:t>Enron Power Marketing, Inc. (“EPMI”)</w:t>
      </w:r>
    </w:p>
    <w:p>
      <w:pPr>
        <w:pStyle w:val="Normal"/>
        <w:jc w:val="center"/>
        <w:rPr>
          <w:rFonts w:ascii="Arial" w:hAnsi="Arial" w:cs="Arial"/>
          <w:smallCaps/>
          <w:sz w:val="22"/>
        </w:rPr>
      </w:pPr>
      <w:r>
        <w:rPr>
          <w:rFonts w:cs="Arial" w:ascii="Arial" w:hAnsi="Arial"/>
          <w:sz w:val="22"/>
        </w:rPr>
        <w:t>August 27, 2001</w:t>
      </w:r>
    </w:p>
    <w:p>
      <w:pPr>
        <w:pStyle w:val="Normal"/>
        <w:jc w:val="both"/>
        <w:rPr>
          <w:rFonts w:ascii="Arial" w:hAnsi="Arial" w:cs="Arial"/>
          <w:b/>
          <w:smallCaps/>
          <w:sz w:val="22"/>
        </w:rPr>
      </w:pPr>
      <w:r>
        <w:rPr>
          <w:rFonts w:cs="Arial" w:ascii="Arial" w:hAnsi="Arial"/>
          <w:b/>
          <w:smallCaps/>
          <w:sz w:val="22"/>
        </w:rPr>
      </w:r>
    </w:p>
    <w:p>
      <w:pPr>
        <w:pStyle w:val="Normal"/>
        <w:jc w:val="both"/>
        <w:rPr>
          <w:rFonts w:ascii="Arial" w:hAnsi="Arial" w:cs="Arial"/>
          <w:b/>
          <w:sz w:val="22"/>
        </w:rPr>
      </w:pPr>
      <w:r>
        <w:rPr>
          <w:rFonts w:cs="Arial" w:ascii="Arial" w:hAnsi="Arial"/>
          <w:b/>
          <w:sz w:val="22"/>
        </w:rPr>
      </w:r>
    </w:p>
    <w:p>
      <w:pPr>
        <w:pStyle w:val="Normal"/>
        <w:ind w:hanging="2160" w:start="2160" w:end="0"/>
        <w:jc w:val="both"/>
        <w:rPr/>
      </w:pPr>
      <w:r>
        <w:rPr>
          <w:rFonts w:cs="Arial" w:ascii="Arial" w:hAnsi="Arial"/>
          <w:b/>
          <w:sz w:val="22"/>
        </w:rPr>
        <w:t>Description:</w:t>
        <w:tab/>
      </w:r>
      <w:r>
        <w:rPr>
          <w:rFonts w:cs="Arial" w:ascii="Arial" w:hAnsi="Arial"/>
          <w:b/>
          <w:i/>
          <w:sz w:val="22"/>
        </w:rPr>
        <w:t>Parking Service</w:t>
      </w:r>
      <w:r>
        <w:rPr>
          <w:rFonts w:cs="Arial" w:ascii="Arial" w:hAnsi="Arial"/>
          <w:sz w:val="22"/>
        </w:rPr>
        <w:t xml:space="preserve">: On any day, EPMI has the option to schedule energy </w:t>
      </w:r>
      <w:r>
        <w:rPr>
          <w:rFonts w:cs="Arial" w:ascii="Arial" w:hAnsi="Arial"/>
          <w:i/>
          <w:iCs/>
          <w:sz w:val="22"/>
        </w:rPr>
        <w:t>to SEPA</w:t>
      </w:r>
      <w:r>
        <w:rPr>
          <w:rFonts w:cs="Arial" w:ascii="Arial" w:hAnsi="Arial"/>
          <w:sz w:val="22"/>
        </w:rPr>
        <w:t xml:space="preserve">  (“Parking”) on a day/week-ahead basis, and to schedule another </w:t>
      </w:r>
      <w:r>
        <w:rPr>
          <w:rFonts w:cs="Arial" w:ascii="Arial" w:hAnsi="Arial"/>
          <w:i/>
          <w:iCs/>
          <w:sz w:val="22"/>
        </w:rPr>
        <w:t xml:space="preserve">equal and </w:t>
      </w:r>
      <w:r>
        <w:rPr>
          <w:rFonts w:cs="Arial" w:ascii="Arial" w:hAnsi="Arial"/>
          <w:i/>
          <w:sz w:val="22"/>
        </w:rPr>
        <w:t xml:space="preserve">offsetting </w:t>
      </w:r>
      <w:r>
        <w:rPr>
          <w:rFonts w:cs="Arial" w:ascii="Arial" w:hAnsi="Arial"/>
          <w:sz w:val="22"/>
        </w:rPr>
        <w:t>like amount of energy on a day ahead or hour by hour basis.  Each day/week-ahead and offsetting schedule would balance/net to zero for each hour of the delivery day.  (see attached Example Parking Transaction).</w:t>
      </w:r>
    </w:p>
    <w:p>
      <w:pPr>
        <w:pStyle w:val="BodyText"/>
        <w:jc w:val="both"/>
        <w:rPr>
          <w:rFonts w:ascii="Arial" w:hAnsi="Arial" w:cs="Arial"/>
          <w:i w:val="false"/>
          <w:i w:val="false"/>
          <w:sz w:val="22"/>
        </w:rPr>
      </w:pPr>
      <w:r>
        <w:rPr>
          <w:rFonts w:cs="Arial"/>
          <w:i w:val="false"/>
          <w:sz w:val="22"/>
        </w:rPr>
      </w:r>
    </w:p>
    <w:p>
      <w:pPr>
        <w:pStyle w:val="Normal"/>
        <w:spacing w:lineRule="atLeast" w:line="240"/>
        <w:ind w:hanging="2160" w:start="2160" w:end="0"/>
        <w:jc w:val="both"/>
        <w:rPr/>
      </w:pPr>
      <w:r>
        <w:rPr>
          <w:rFonts w:cs="Arial" w:ascii="Arial" w:hAnsi="Arial"/>
          <w:b/>
          <w:color w:val="000000"/>
          <w:sz w:val="22"/>
        </w:rPr>
        <w:t>Quantity:</w:t>
      </w:r>
      <w:r>
        <w:rPr>
          <w:rFonts w:cs="Arial" w:ascii="Arial" w:hAnsi="Arial"/>
          <w:color w:val="000000"/>
          <w:sz w:val="22"/>
        </w:rPr>
        <w:tab/>
        <w:t>Total MW per hour to be mutually agreed upon on a day/week-ahead basis between EPMI and SEPA, further subject to any individual size or availability limitations at each SEPA interface.</w:t>
      </w:r>
    </w:p>
    <w:p>
      <w:pPr>
        <w:pStyle w:val="Normal"/>
        <w:spacing w:lineRule="atLeast" w:line="240"/>
        <w:jc w:val="both"/>
        <w:rPr>
          <w:rFonts w:ascii="Arial" w:hAnsi="Arial" w:cs="Arial"/>
          <w:color w:val="000000"/>
          <w:sz w:val="22"/>
        </w:rPr>
      </w:pPr>
      <w:r>
        <w:rPr>
          <w:rFonts w:cs="Arial" w:ascii="Arial" w:hAnsi="Arial"/>
          <w:color w:val="000000"/>
          <w:sz w:val="22"/>
        </w:rPr>
      </w:r>
    </w:p>
    <w:p>
      <w:pPr>
        <w:pStyle w:val="Normal"/>
        <w:spacing w:lineRule="atLeast" w:line="240"/>
        <w:ind w:hanging="2160" w:start="2160" w:end="0"/>
        <w:jc w:val="both"/>
        <w:rPr>
          <w:rFonts w:ascii="Arial" w:hAnsi="Arial" w:cs="Arial"/>
          <w:color w:val="000000"/>
          <w:sz w:val="22"/>
        </w:rPr>
      </w:pPr>
      <w:r>
        <w:rPr>
          <w:rFonts w:cs="Arial" w:ascii="Arial" w:hAnsi="Arial"/>
          <w:color w:val="000000"/>
          <w:sz w:val="22"/>
        </w:rPr>
        <w:tab/>
        <w:t>Within the mutually agreed Quantity specified, EPMI would have the ability to schedule any quantity desired for each hour of the schedule subject to the requirement that EPMI must balance/net to zero for each hour.  It is understood that EPMI’s use of such quantities may be limited by transmission constraints or other operational limitations.</w:t>
      </w:r>
    </w:p>
    <w:p>
      <w:pPr>
        <w:pStyle w:val="BodyText"/>
        <w:ind w:hanging="2160" w:start="2160" w:end="0"/>
        <w:jc w:val="both"/>
        <w:rPr>
          <w:rFonts w:eastAsia="Arial" w:cs="Arial"/>
          <w:b/>
          <w:i w:val="false"/>
          <w:i w:val="false"/>
          <w:sz w:val="22"/>
        </w:rPr>
      </w:pPr>
      <w:r>
        <w:rPr>
          <w:rFonts w:eastAsia="Arial" w:cs="Arial"/>
          <w:b/>
          <w:i w:val="false"/>
          <w:sz w:val="22"/>
        </w:rPr>
        <w:t xml:space="preserve"> </w:t>
      </w:r>
    </w:p>
    <w:p>
      <w:pPr>
        <w:pStyle w:val="BodyText"/>
        <w:ind w:hanging="2160" w:start="2160" w:end="0"/>
        <w:jc w:val="both"/>
        <w:rPr/>
      </w:pPr>
      <w:r>
        <w:rPr>
          <w:rFonts w:cs="Arial"/>
          <w:b/>
          <w:i w:val="false"/>
          <w:sz w:val="22"/>
        </w:rPr>
        <w:t>Price:</w:t>
        <w:tab/>
      </w:r>
      <w:r>
        <w:rPr>
          <w:rFonts w:cs="Arial"/>
          <w:i w:val="false"/>
          <w:sz w:val="22"/>
        </w:rPr>
        <w:t>In cases where the parking transaction is replaced by a physical buy/sell transaction with SEPA, then SEPA will pay EPMI the price agreed to between the parties for the MWs that are actually sold to SEPA.</w:t>
      </w:r>
    </w:p>
    <w:p>
      <w:pPr>
        <w:pStyle w:val="BodyText"/>
        <w:ind w:start="2160" w:end="0"/>
        <w:jc w:val="both"/>
        <w:rPr>
          <w:rFonts w:cs="Arial"/>
          <w:i w:val="false"/>
          <w:i w:val="false"/>
          <w:sz w:val="22"/>
        </w:rPr>
      </w:pPr>
      <w:r>
        <w:rPr>
          <w:rFonts w:cs="Arial"/>
          <w:i w:val="false"/>
          <w:sz w:val="22"/>
        </w:rPr>
      </w:r>
    </w:p>
    <w:p>
      <w:pPr>
        <w:pStyle w:val="Normal"/>
        <w:spacing w:lineRule="atLeast" w:line="240"/>
        <w:ind w:hanging="2160" w:start="2160" w:end="0"/>
        <w:jc w:val="both"/>
        <w:rPr/>
      </w:pPr>
      <w:r>
        <w:rPr>
          <w:rFonts w:cs="Arial" w:ascii="Arial" w:hAnsi="Arial"/>
          <w:b/>
          <w:color w:val="000000"/>
          <w:sz w:val="22"/>
        </w:rPr>
        <w:t>Scheduling:</w:t>
        <w:tab/>
      </w:r>
      <w:r>
        <w:rPr>
          <w:rFonts w:cs="Arial" w:ascii="Arial" w:hAnsi="Arial"/>
          <w:color w:val="000000"/>
          <w:sz w:val="22"/>
        </w:rPr>
        <w:t>Day-ahead schedules would be provided by EPMI to SEPA by 12:00 Noon EPT on the day preceeding the delivery day.  Hourly schedules would be made by EPMI on the delivery day no less than thirty (30) minutes prior to the hour of energy flow, or as required by the scheduling deadline under the applicable tariff that may change from time to time.</w:t>
      </w:r>
    </w:p>
    <w:p>
      <w:pPr>
        <w:pStyle w:val="Normal"/>
        <w:spacing w:lineRule="atLeast" w:line="240"/>
        <w:ind w:start="2160" w:end="0"/>
        <w:jc w:val="both"/>
        <w:rPr>
          <w:rFonts w:ascii="Arial" w:hAnsi="Arial" w:cs="Arial"/>
          <w:color w:val="000000"/>
          <w:sz w:val="22"/>
        </w:rPr>
      </w:pPr>
      <w:r>
        <w:rPr>
          <w:rFonts w:cs="Arial" w:ascii="Arial" w:hAnsi="Arial"/>
          <w:color w:val="000000"/>
          <w:sz w:val="22"/>
        </w:rPr>
      </w:r>
    </w:p>
    <w:p>
      <w:pPr>
        <w:pStyle w:val="Normal"/>
        <w:spacing w:lineRule="atLeast" w:line="240"/>
        <w:ind w:start="2160" w:end="0"/>
        <w:jc w:val="both"/>
        <w:rPr>
          <w:rFonts w:ascii="Arial" w:hAnsi="Arial" w:cs="Arial"/>
          <w:color w:val="000000"/>
          <w:sz w:val="22"/>
        </w:rPr>
      </w:pPr>
      <w:r>
        <w:rPr>
          <w:rFonts w:cs="Arial" w:ascii="Arial" w:hAnsi="Arial"/>
          <w:color w:val="000000"/>
          <w:sz w:val="22"/>
        </w:rPr>
        <w:t>EPMI would be responsible for all NERC tagging for energy deliveries under any Parking transaction.  SEPA would be responsible for reviewing and “accepting” tags associated with a transaction, or allow them to go through by default as “conditional tags”.</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r>
    </w:p>
    <w:p>
      <w:pPr>
        <w:pStyle w:val="Normal"/>
        <w:spacing w:lineRule="atLeast" w:line="240"/>
        <w:ind w:hanging="2160" w:start="2160" w:end="0"/>
        <w:jc w:val="both"/>
        <w:rPr/>
      </w:pPr>
      <w:r>
        <w:rPr>
          <w:rFonts w:cs="Arial" w:ascii="Arial" w:hAnsi="Arial"/>
          <w:b/>
          <w:color w:val="000000"/>
          <w:sz w:val="22"/>
        </w:rPr>
        <w:t>Transmission:</w:t>
        <w:tab/>
      </w:r>
      <w:r>
        <w:rPr>
          <w:rFonts w:cs="Arial" w:ascii="Arial" w:hAnsi="Arial"/>
          <w:color w:val="000000"/>
          <w:sz w:val="22"/>
        </w:rPr>
        <w:t>EPMI would be responsible for all transmission arrangements and transmission costs that are associated with Parking transactions with one exception as outlined below:</w:t>
      </w:r>
    </w:p>
    <w:p>
      <w:pPr>
        <w:pStyle w:val="Normal"/>
        <w:spacing w:lineRule="atLeast" w:line="240"/>
        <w:ind w:hanging="2160" w:start="2160" w:end="0"/>
        <w:jc w:val="both"/>
        <w:rPr>
          <w:rFonts w:ascii="Arial" w:hAnsi="Arial" w:cs="Arial"/>
          <w:color w:val="000000"/>
          <w:sz w:val="22"/>
        </w:rPr>
      </w:pPr>
      <w:r>
        <w:rPr>
          <w:rFonts w:cs="Arial" w:ascii="Arial" w:hAnsi="Arial"/>
          <w:color w:val="000000"/>
          <w:sz w:val="22"/>
        </w:rPr>
      </w:r>
    </w:p>
    <w:p>
      <w:pPr>
        <w:pStyle w:val="Normal"/>
        <w:numPr>
          <w:ilvl w:val="0"/>
          <w:numId w:val="2"/>
        </w:numPr>
        <w:spacing w:lineRule="atLeast" w:line="240"/>
        <w:jc w:val="both"/>
        <w:rPr>
          <w:rFonts w:ascii="Arial" w:hAnsi="Arial" w:cs="Arial"/>
          <w:color w:val="000000"/>
          <w:sz w:val="22"/>
        </w:rPr>
      </w:pPr>
      <w:r>
        <w:rPr>
          <w:rFonts w:cs="Arial" w:ascii="Arial" w:hAnsi="Arial"/>
          <w:color w:val="000000"/>
          <w:sz w:val="22"/>
        </w:rPr>
        <w:t>If a “round trip” parking transaction is replaced by a buy/sell transaction between the Parties, then payment for transmission costs would be as negotiated and agreed to between the Parties as appropriate for the individual transaction.</w:t>
      </w:r>
    </w:p>
    <w:p>
      <w:pPr>
        <w:pStyle w:val="BodyText"/>
        <w:jc w:val="both"/>
        <w:rPr>
          <w:rFonts w:ascii="Arial" w:hAnsi="Arial" w:cs="Arial"/>
          <w:b/>
          <w:i w:val="false"/>
          <w:i w:val="false"/>
          <w:color w:val="000000"/>
          <w:sz w:val="22"/>
        </w:rPr>
      </w:pPr>
      <w:r>
        <w:rPr>
          <w:rFonts w:cs="Arial"/>
          <w:b/>
          <w:i w:val="false"/>
          <w:color w:val="000000"/>
          <w:sz w:val="22"/>
        </w:rPr>
      </w:r>
    </w:p>
    <w:p>
      <w:pPr>
        <w:pStyle w:val="BodyText"/>
        <w:ind w:hanging="2160" w:start="2160" w:end="0"/>
        <w:jc w:val="both"/>
        <w:rPr/>
      </w:pPr>
      <w:r>
        <w:rPr>
          <w:rFonts w:cs="Arial"/>
          <w:b/>
          <w:i w:val="false"/>
          <w:sz w:val="22"/>
        </w:rPr>
        <w:t xml:space="preserve">Delivery Points: </w:t>
        <w:tab/>
      </w:r>
      <w:r>
        <w:rPr>
          <w:rFonts w:cs="Arial"/>
          <w:i w:val="false"/>
          <w:sz w:val="22"/>
        </w:rPr>
        <w:t>The Delivery Point in any Parking transaction would be any open interface point(s) between SEPA’s control area and the adjacent control area used by EPMI in a Parking transaction.  Names and availability of specific interfaces between SEPA’s control areas and the upstream control areas to be utilized are as described in OASIS, and it is understood that interface specifications may change from time to time.</w:t>
      </w:r>
    </w:p>
    <w:p>
      <w:pPr>
        <w:pStyle w:val="BodyText"/>
        <w:ind w:hanging="2160" w:start="2160" w:end="0"/>
        <w:jc w:val="both"/>
        <w:rPr>
          <w:rFonts w:cs="Arial"/>
          <w:b/>
          <w:i w:val="false"/>
          <w:i w:val="false"/>
          <w:sz w:val="22"/>
        </w:rPr>
      </w:pPr>
      <w:r>
        <w:rPr>
          <w:rFonts w:cs="Arial"/>
          <w:b/>
          <w:i w:val="false"/>
          <w:sz w:val="22"/>
        </w:rPr>
      </w:r>
    </w:p>
    <w:p>
      <w:pPr>
        <w:pStyle w:val="BodyText"/>
        <w:ind w:hanging="2160" w:start="2160" w:end="0"/>
        <w:jc w:val="both"/>
        <w:rPr/>
      </w:pPr>
      <w:r>
        <w:rPr>
          <w:rFonts w:cs="Arial"/>
          <w:b/>
          <w:i w:val="false"/>
          <w:sz w:val="22"/>
        </w:rPr>
        <w:t>SEPA Right to Purchase:</w:t>
        <w:tab/>
      </w:r>
      <w:r>
        <w:rPr>
          <w:rFonts w:cs="Arial"/>
          <w:i w:val="false"/>
          <w:sz w:val="22"/>
        </w:rPr>
        <w:t>SEPA would have the right to purchase from EPMI any energy held by SEPA under a Parking transaction at a market price to be quoted by EPMI.  In order to be able to adhere to scheduling requirements and deadlines, EPMI reserves the right to utilize the specific manner of implementation of such right subject to the sole discretion of EPMI.</w:t>
      </w:r>
    </w:p>
    <w:p>
      <w:pPr>
        <w:pStyle w:val="Normal"/>
        <w:tabs>
          <w:tab w:val="clear" w:pos="720"/>
          <w:tab w:val="left" w:pos="2160" w:leader="none"/>
          <w:tab w:val="left" w:pos="3600" w:leader="none"/>
        </w:tabs>
        <w:spacing w:lineRule="atLeast" w:line="240"/>
        <w:ind w:hanging="2160" w:start="2160" w:end="0"/>
        <w:jc w:val="both"/>
        <w:rPr>
          <w:rFonts w:ascii="Arial" w:hAnsi="Arial" w:cs="Arial"/>
          <w:sz w:val="22"/>
        </w:rPr>
      </w:pPr>
      <w:r>
        <w:rPr/>
        <w:tab/>
      </w:r>
    </w:p>
    <w:p>
      <w:pPr>
        <w:pStyle w:val="Normal"/>
        <w:ind w:hanging="2160" w:start="2160" w:end="0"/>
        <w:jc w:val="both"/>
        <w:rPr/>
      </w:pPr>
      <w:r>
        <w:rPr>
          <w:rFonts w:cs="Arial" w:ascii="Arial" w:hAnsi="Arial"/>
          <w:b/>
          <w:sz w:val="22"/>
        </w:rPr>
        <w:t>Definitions:</w:t>
        <w:tab/>
        <w:t>“Parking”</w:t>
      </w:r>
      <w:r>
        <w:rPr>
          <w:rFonts w:cs="Arial" w:ascii="Arial" w:hAnsi="Arial"/>
          <w:sz w:val="22"/>
        </w:rPr>
        <w:t xml:space="preserve"> means a transaction in which (i) EPMI, on a day-ahead basis, schedules the sale by EPMI to SEPA of electric energy, at a fixed quantity and for a specified block of hours, and (ii) EPMI, on an intra-hour basis on the following day or day-ahead, schedules the sale by SEPA to EPMI of the full quantity each hour, for resale by EPMI to one or more purchasers. </w:t>
      </w:r>
    </w:p>
    <w:p>
      <w:pPr>
        <w:pStyle w:val="BodyText"/>
        <w:jc w:val="both"/>
        <w:rPr>
          <w:rFonts w:ascii="Arial" w:hAnsi="Arial" w:cs="Arial"/>
          <w:b/>
          <w:i w:val="false"/>
          <w:i w:val="false"/>
          <w:sz w:val="22"/>
        </w:rPr>
      </w:pPr>
      <w:r>
        <w:rPr>
          <w:rFonts w:cs="Arial"/>
          <w:b/>
          <w:i w:val="false"/>
          <w:sz w:val="22"/>
        </w:rPr>
      </w:r>
    </w:p>
    <w:p>
      <w:pPr>
        <w:pStyle w:val="BodyText"/>
        <w:ind w:hanging="2160" w:start="2160" w:end="0"/>
        <w:jc w:val="both"/>
        <w:rPr>
          <w:rFonts w:cs="Arial"/>
          <w:b/>
          <w:i w:val="false"/>
          <w:i w:val="false"/>
          <w:sz w:val="22"/>
        </w:rPr>
      </w:pPr>
      <w:r>
        <w:rPr>
          <w:rFonts w:cs="Arial"/>
          <w:b/>
          <w:i w:val="false"/>
          <w:sz w:val="22"/>
        </w:rPr>
        <w:t>Failure to</w:t>
      </w:r>
    </w:p>
    <w:p>
      <w:pPr>
        <w:pStyle w:val="Normal"/>
        <w:ind w:hanging="2160" w:start="2160" w:end="0"/>
        <w:jc w:val="both"/>
        <w:rPr/>
      </w:pPr>
      <w:r>
        <w:rPr>
          <w:rFonts w:cs="Arial" w:ascii="Arial" w:hAnsi="Arial"/>
          <w:b/>
          <w:sz w:val="22"/>
        </w:rPr>
        <w:t>Perform:</w:t>
        <w:tab/>
        <w:t xml:space="preserve">Parking – EPMI’s Failure.  </w:t>
      </w:r>
      <w:r>
        <w:rPr>
          <w:rFonts w:cs="Arial" w:ascii="Arial" w:hAnsi="Arial"/>
          <w:sz w:val="22"/>
        </w:rPr>
        <w:t>If EPMI fails for any hour, by the half-hour deadline, to schedule energy redeliveries from SEPA to EPMI during a Parking transaction for any hour, SEPA may elect to purchase such energy, at a price equal to SEPA’s applicable winning bid cost, less 10%, unless the Parties agree upon a different price.  If EPMI fails to schedule, or schedules and fails to take, the energy to be redelivered from SEPA to EPMI during a Parking transaction, EPMI shall pay all applicable inadvertent or energy imbalance charges incurred by SEPA as a result (with a credit for any costs avoided by SEPA as to energy which SEPA did not have to purchase or generate).</w:t>
      </w:r>
    </w:p>
    <w:p>
      <w:pPr>
        <w:pStyle w:val="Normal"/>
        <w:ind w:hanging="2160" w:start="2160" w:end="0"/>
        <w:jc w:val="both"/>
        <w:rPr>
          <w:rFonts w:ascii="Arial" w:hAnsi="Arial" w:cs="Arial"/>
          <w:sz w:val="22"/>
        </w:rPr>
      </w:pPr>
      <w:r>
        <w:rPr>
          <w:rFonts w:cs="Arial" w:ascii="Arial" w:hAnsi="Arial"/>
          <w:sz w:val="22"/>
        </w:rPr>
      </w:r>
    </w:p>
    <w:p>
      <w:pPr>
        <w:pStyle w:val="Normal"/>
        <w:ind w:hanging="2160" w:start="2160" w:end="0"/>
        <w:jc w:val="both"/>
        <w:rPr>
          <w:rFonts w:ascii="Arial" w:hAnsi="Arial" w:cs="Arial"/>
          <w:sz w:val="22"/>
        </w:rPr>
      </w:pPr>
      <w:r>
        <w:rPr>
          <w:rFonts w:cs="Arial" w:ascii="Arial" w:hAnsi="Arial"/>
          <w:sz w:val="22"/>
        </w:rPr>
        <w:tab/>
        <w:t>If EPMI fails to deliver (Park) energy as scheduled, then EPMI would not be entitled to schedule and take the offsetting hourly quantity.</w:t>
      </w:r>
    </w:p>
    <w:p>
      <w:pPr>
        <w:pStyle w:val="Normal"/>
        <w:jc w:val="both"/>
        <w:rPr>
          <w:rFonts w:ascii="Arial" w:hAnsi="Arial" w:cs="Arial"/>
          <w:sz w:val="22"/>
          <w:u w:val="single"/>
        </w:rPr>
      </w:pPr>
      <w:r>
        <w:rPr>
          <w:rFonts w:cs="Arial" w:ascii="Arial" w:hAnsi="Arial"/>
          <w:sz w:val="22"/>
          <w:u w:val="single"/>
        </w:rPr>
      </w:r>
    </w:p>
    <w:p>
      <w:pPr>
        <w:pStyle w:val="Normal"/>
        <w:ind w:start="2160" w:end="0"/>
        <w:jc w:val="both"/>
        <w:rPr/>
      </w:pPr>
      <w:r>
        <w:rPr>
          <w:rFonts w:cs="Arial" w:ascii="Arial" w:hAnsi="Arial"/>
          <w:b/>
          <w:sz w:val="22"/>
        </w:rPr>
        <w:t>Parking – SEPA’s Failure.</w:t>
      </w:r>
      <w:r>
        <w:rPr>
          <w:rFonts w:cs="Arial" w:ascii="Arial" w:hAnsi="Arial"/>
          <w:sz w:val="22"/>
        </w:rPr>
        <w:t xml:space="preserve">  If SEPA fails to redeliver energy to EPMI, in accordance with the Schedule, during a Parking transaction, SEPA shall reimburse to EPMI the costs incurred by EPMI (i) for inadvertent and imbalance energy charges, if any, and (ii) to obtain replacement energy and any incremental transmission, if applicable, from another source.</w:t>
      </w:r>
    </w:p>
    <w:p>
      <w:pPr>
        <w:pStyle w:val="Normal"/>
        <w:jc w:val="both"/>
        <w:rPr>
          <w:rFonts w:ascii="Arial" w:hAnsi="Arial" w:eastAsia="Arial" w:cs="Arial"/>
          <w:sz w:val="22"/>
        </w:rPr>
      </w:pPr>
      <w:r>
        <w:rPr>
          <w:rFonts w:eastAsia="Arial" w:cs="Arial" w:ascii="Arial" w:hAnsi="Arial"/>
          <w:sz w:val="22"/>
        </w:rPr>
        <w:t xml:space="preserve"> </w:t>
      </w:r>
    </w:p>
    <w:p>
      <w:pPr>
        <w:pStyle w:val="Normal"/>
        <w:ind w:start="2160" w:end="0"/>
        <w:jc w:val="both"/>
        <w:rPr>
          <w:rFonts w:ascii="Arial" w:hAnsi="Arial" w:cs="Arial"/>
          <w:sz w:val="22"/>
        </w:rPr>
      </w:pPr>
      <w:r>
        <w:rPr>
          <w:rFonts w:cs="Arial" w:ascii="Arial" w:hAnsi="Arial"/>
          <w:sz w:val="22"/>
        </w:rPr>
        <w:t>The parties would agree to use commercially reasonable efforts to mitigate any such costs described above.  The parties would agree that these provisions provide the sole and exclusive remedies in the event that either Party fails to perform its obligations in a Parking transaction.</w:t>
      </w:r>
    </w:p>
    <w:p>
      <w:pPr>
        <w:pStyle w:val="Normal"/>
        <w:jc w:val="both"/>
        <w:rPr>
          <w:rFonts w:ascii="Arial" w:hAnsi="Arial" w:cs="Arial"/>
          <w:sz w:val="22"/>
        </w:rPr>
      </w:pPr>
      <w:r>
        <w:rPr>
          <w:rFonts w:cs="Arial" w:ascii="Arial" w:hAnsi="Arial"/>
          <w:sz w:val="22"/>
        </w:rPr>
      </w:r>
    </w:p>
    <w:p>
      <w:pPr>
        <w:pStyle w:val="Normal"/>
        <w:jc w:val="both"/>
        <w:rPr>
          <w:rFonts w:ascii="Arial" w:hAnsi="Arial" w:cs="Arial"/>
          <w:b/>
          <w:sz w:val="22"/>
        </w:rPr>
      </w:pPr>
      <w:r>
        <w:rPr>
          <w:rFonts w:cs="Arial" w:ascii="Arial" w:hAnsi="Arial"/>
          <w:b/>
          <w:sz w:val="22"/>
        </w:rPr>
      </w:r>
    </w:p>
    <w:p>
      <w:pPr>
        <w:pStyle w:val="Normal"/>
        <w:ind w:hanging="2160" w:start="2160" w:end="0"/>
        <w:jc w:val="both"/>
        <w:rPr>
          <w:rFonts w:ascii="Arial" w:hAnsi="Arial" w:cs="Arial"/>
          <w:sz w:val="22"/>
        </w:rPr>
      </w:pPr>
      <w:r>
        <w:rPr>
          <w:rFonts w:cs="Arial" w:ascii="Arial" w:hAnsi="Arial"/>
          <w:b/>
          <w:sz w:val="22"/>
        </w:rPr>
        <w:t>Confidentiality:</w:t>
      </w:r>
      <w:r>
        <w:rPr>
          <w:rFonts w:cs="Arial" w:ascii="Arial" w:hAnsi="Arial"/>
          <w:sz w:val="22"/>
        </w:rPr>
        <w:tab/>
        <w:t>All terms and conditions of this proposal are proprietary trade secrets of EPMI and are exempted by respective Public Records Laws and must be kept confidential between SEPA, EPMI, and their agents and affiliates.</w:t>
      </w:r>
    </w:p>
    <w:p>
      <w:pPr>
        <w:pStyle w:val="BodyText"/>
        <w:ind w:hanging="2160" w:start="2160" w:end="0"/>
        <w:jc w:val="both"/>
        <w:rPr>
          <w:rFonts w:ascii="Arial" w:hAnsi="Arial" w:cs="Arial"/>
          <w:i w:val="false"/>
          <w:i w:val="false"/>
          <w:sz w:val="22"/>
        </w:rPr>
      </w:pPr>
      <w:r>
        <w:rPr>
          <w:rFonts w:cs="Arial"/>
          <w:i w:val="false"/>
          <w:sz w:val="22"/>
        </w:rPr>
      </w:r>
    </w:p>
    <w:p>
      <w:pPr>
        <w:pStyle w:val="BodyText"/>
        <w:ind w:hanging="2160" w:start="2160" w:end="0"/>
        <w:jc w:val="both"/>
        <w:rPr>
          <w:rFonts w:cs="Arial"/>
          <w:i w:val="false"/>
          <w:i w:val="false"/>
          <w:sz w:val="22"/>
        </w:rPr>
      </w:pPr>
      <w:r>
        <w:rPr>
          <w:rFonts w:cs="Arial"/>
          <w:i w:val="false"/>
          <w:sz w:val="22"/>
        </w:rPr>
      </w:r>
    </w:p>
    <w:p>
      <w:pPr>
        <w:pStyle w:val="BodyText"/>
        <w:jc w:val="both"/>
        <w:rPr>
          <w:rFonts w:cs="Arial"/>
          <w:b/>
          <w:sz w:val="22"/>
        </w:rPr>
      </w:pPr>
      <w:r>
        <w:rPr>
          <w:rFonts w:cs="Arial"/>
          <w:b/>
          <w:sz w:val="22"/>
        </w:rPr>
        <w:t xml:space="preserve">The prices and terms of this proposal are subject to change until a definitive agreement is reached.  This proposal is for discussion purposes only, to facilitate the negotiation, preparation, and execution of a definitive agreement. This is not an offer or commitment of Buyer or any of its affiliates to enter into any transaction.  The transaction described herein is subject to further review and approval of the Board of Directors of Seller and Buyer, and execution of a definitive agreement containing all appropriate provisions, including those related to payment terms, events of default and remedies, dispute resolution, limitations of damages, credit, confidentiality, and governing law. </w:t>
      </w:r>
    </w:p>
    <w:p>
      <w:pPr>
        <w:pStyle w:val="BodyText"/>
        <w:jc w:val="both"/>
        <w:rPr>
          <w:rFonts w:cs="Arial"/>
          <w:b/>
          <w:i w:val="false"/>
          <w:i w:val="false"/>
          <w:sz w:val="16"/>
        </w:rPr>
      </w:pPr>
      <w:r>
        <w:rPr>
          <w:rFonts w:cs="Arial"/>
          <w:b/>
          <w:i w:val="false"/>
          <w:sz w:val="16"/>
        </w:rPr>
      </w:r>
    </w:p>
    <w:p>
      <w:pPr>
        <w:pStyle w:val="BodyText"/>
        <w:jc w:val="both"/>
        <w:rPr>
          <w:i w:val="false"/>
          <w:i w:val="false"/>
          <w:sz w:val="16"/>
        </w:rPr>
      </w:pPr>
      <w:r>
        <w:rPr>
          <w:i w:val="false"/>
          <w:sz w:val="16"/>
        </w:rPr>
      </w:r>
    </w:p>
    <w:sectPr>
      <w:headerReference w:type="default" r:id="rId2"/>
      <w:footerReference w:type="default" r:id="rId3"/>
      <w:type w:val="nextPage"/>
      <w:pgSz w:w="12240" w:h="15840"/>
      <w:pgMar w:left="720" w:right="720" w:gutter="0" w:header="720" w:top="1627" w:footer="936" w:bottom="1354"/>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0" w:leader="none"/>
        <w:tab w:val="right" w:pos="10800" w:leader="none"/>
      </w:tabs>
      <w:rPr>
        <w:lang w:val="en-CA" w:eastAsia="en-CA"/>
      </w:rPr>
    </w:pPr>
    <w:r>
      <w:rPr>
        <w:lang w:val="en-CA" w:eastAsia="en-CA"/>
      </w:rPr>
      <w:object w:dxaOrig="1238" w:dyaOrig="124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82.4pt;margin-top:-19.95pt;width:61.9pt;height:62.2pt;mso-wrap-distance-left:9.05pt;mso-wrap-distance-right:9.05pt;mso-position-horizontal-relative:text;mso-position-vertical-relative:text" filled="f" o:ole="">
          <v:imagedata r:id="rId2" o:title=""/>
        </v:shape>
        <o:OLEObject Type="Embed" ProgID="" ShapeID="ole_rId1" DrawAspect="Content" ObjectID="_1575086264" r:id="rId1"/>
      </w:objec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 </w:t>
    </w:r>
    <w:r>
      <mc:AlternateContent>
        <mc:Choice Requires="wps">
          <w:drawing>
            <wp:anchor behindDoc="1" distT="0" distB="0" distL="114935" distR="114935" simplePos="0" locked="0" layoutInCell="1" allowOverlap="1" relativeHeight="3">
              <wp:simplePos x="0" y="0"/>
              <wp:positionH relativeFrom="column">
                <wp:posOffset>-50165</wp:posOffset>
              </wp:positionH>
              <wp:positionV relativeFrom="paragraph">
                <wp:posOffset>-4445</wp:posOffset>
              </wp:positionV>
              <wp:extent cx="6912610" cy="283210"/>
              <wp:effectExtent l="0" t="0" r="0" b="0"/>
              <wp:wrapNone/>
              <wp:docPr id="1" name="Frame1"/>
              <a:graphic xmlns:a="http://schemas.openxmlformats.org/drawingml/2006/main">
                <a:graphicData uri="http://schemas.microsoft.com/office/word/2010/wordprocessingShape">
                  <wps:wsp>
                    <wps:cNvSpPr txBox="1"/>
                    <wps:spPr>
                      <a:xfrm>
                        <a:off x="0" y="0"/>
                        <a:ext cx="6912610" cy="283210"/>
                      </a:xfrm>
                      <a:prstGeom prst="rect"/>
                      <a:solidFill>
                        <a:srgbClr val="0000FF"/>
                      </a:solidFill>
                      <a:ln w="9525">
                        <a:solidFill>
                          <a:srgbClr val="000000"/>
                        </a:solidFill>
                      </a:ln>
                    </wps:spPr>
                    <wps:txbx>
                      <w:txbxContent>
                        <w:p>
                          <w:pPr>
                            <w:pStyle w:val="Heading4"/>
                            <w:rPr>
                              <w:color w:val="FFFFFF"/>
                            </w:rPr>
                          </w:pPr>
                          <w:r>
                            <w:rPr>
                              <w:color w:val="FFFFFF"/>
                            </w:rPr>
                            <w:t>Proprietary &amp; Confidential Information, For Discussion Only</w:t>
                          </w:r>
                        </w:p>
                      </w:txbxContent>
                    </wps:txbx>
                    <wps:bodyPr anchor="t" lIns="91440" tIns="45720" rIns="91440" bIns="45720">
                      <a:noAutofit/>
                    </wps:bodyPr>
                  </wps:wsp>
                </a:graphicData>
              </a:graphic>
            </wp:anchor>
          </w:drawing>
        </mc:Choice>
        <mc:Fallback>
          <w:pict>
            <v:rect fillcolor="#0000FF" strokecolor="#000000" strokeweight="0pt" style="position:absolute;rotation:-0;width:544.3pt;height:22.3pt;mso-wrap-distance-left:9.05pt;mso-wrap-distance-right:9.05pt;mso-wrap-distance-top:0pt;mso-wrap-distance-bottom:0pt;margin-top:-0.35pt;mso-position-vertical-relative:text;margin-left:-3.95pt;mso-position-horizontal-relative:text">
              <v:textbox>
                <w:txbxContent>
                  <w:p>
                    <w:pPr>
                      <w:pStyle w:val="Heading4"/>
                      <w:rPr>
                        <w:color w:val="FFFFFF"/>
                      </w:rPr>
                    </w:pPr>
                    <w:r>
                      <w:rPr>
                        <w:color w:val="FFFFFF"/>
                      </w:rPr>
                      <w:t>Proprietary &amp; Confidential Information, For Discussion Only</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535"/>
        </w:tabs>
        <w:ind w:start="2535" w:hanging="375"/>
      </w:pPr>
      <w:rPr/>
    </w:lvl>
  </w:abstractNum>
  <w:num w:numId="1">
    <w:abstractNumId w:val="1"/>
  </w:num>
  <w:num w:numId="2">
    <w:abstractNumId w:val="2"/>
  </w:num>
</w:numbering>
</file>

<file path=word/settings.xml><?xml version="1.0" encoding="utf-8"?>
<w:settings xmlns:w="http://schemas.openxmlformats.org/wordprocessingml/2006/main">
  <w:zoom w:percent="87"/>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lineRule="atLeast" w:line="240"/>
      <w:ind w:hanging="1980" w:start="1980" w:end="0"/>
      <w:jc w:val="center"/>
      <w:outlineLvl w:val="3"/>
    </w:pPr>
    <w:rPr>
      <w:rFonts w:ascii="Arial" w:hAnsi="Arial" w:cs="Arial"/>
      <w:b/>
      <w:color w:val="000000"/>
    </w:rPr>
  </w:style>
  <w:style w:type="paragraph" w:styleId="Heading5">
    <w:name w:val="heading 5"/>
    <w:basedOn w:val="Normal"/>
    <w:next w:val="Normal"/>
    <w:qFormat/>
    <w:pPr>
      <w:keepNext w:val="true"/>
      <w:numPr>
        <w:ilvl w:val="4"/>
        <w:numId w:val="1"/>
      </w:numPr>
      <w:spacing w:lineRule="atLeast" w:line="240"/>
      <w:jc w:val="center"/>
      <w:outlineLvl w:val="4"/>
    </w:pPr>
    <w:rPr>
      <w:rFonts w:ascii="Arial" w:hAnsi="Arial" w:cs="Arial"/>
      <w:b/>
      <w:color w:val="000000"/>
      <w:u w:val="single"/>
    </w:rPr>
  </w:style>
  <w:style w:type="paragraph" w:styleId="Heading6">
    <w:name w:val="heading 6"/>
    <w:basedOn w:val="Normal"/>
    <w:next w:val="Normal"/>
    <w:qFormat/>
    <w:pPr>
      <w:keepNext w:val="true"/>
      <w:numPr>
        <w:ilvl w:val="5"/>
        <w:numId w:val="1"/>
      </w:numPr>
      <w:spacing w:lineRule="atLeast" w:line="240"/>
      <w:jc w:val="both"/>
      <w:outlineLvl w:val="5"/>
    </w:pPr>
    <w:rPr>
      <w:rFonts w:ascii="Arial" w:hAnsi="Arial" w:cs="Arial"/>
      <w:b/>
      <w:color w:val="000000"/>
      <w:u w:val="single"/>
    </w:rPr>
  </w:style>
  <w:style w:type="paragraph" w:styleId="Heading7">
    <w:name w:val="heading 7"/>
    <w:basedOn w:val="Normal"/>
    <w:next w:val="Normal"/>
    <w:qFormat/>
    <w:pPr>
      <w:keepNext w:val="true"/>
      <w:numPr>
        <w:ilvl w:val="6"/>
        <w:numId w:val="1"/>
      </w:numPr>
      <w:spacing w:lineRule="atLeast" w:line="240"/>
      <w:ind w:hanging="2160" w:start="2160" w:end="0"/>
      <w:jc w:val="both"/>
      <w:outlineLvl w:val="6"/>
    </w:pPr>
    <w:rPr>
      <w:rFonts w:ascii="Arial" w:hAnsi="Arial" w:cs="Arial"/>
      <w:b/>
      <w:color w:val="000000"/>
      <w:u w:val="single"/>
    </w:rPr>
  </w:style>
  <w:style w:type="paragraph" w:styleId="Heading8">
    <w:name w:val="heading 8"/>
    <w:basedOn w:val="Normal"/>
    <w:next w:val="Normal"/>
    <w:qFormat/>
    <w:pPr>
      <w:keepNext w:val="true"/>
      <w:numPr>
        <w:ilvl w:val="7"/>
        <w:numId w:val="1"/>
      </w:numPr>
      <w:spacing w:lineRule="atLeast" w:line="240"/>
      <w:ind w:hanging="2160" w:start="2160" w:end="0"/>
      <w:jc w:val="both"/>
      <w:outlineLvl w:val="7"/>
    </w:pPr>
    <w:rPr>
      <w:rFonts w:ascii="Arial" w:hAnsi="Arial" w:cs="Arial"/>
      <w:b/>
      <w:u w:val="single"/>
    </w:rPr>
  </w:style>
  <w:style w:type="paragraph" w:styleId="Heading9">
    <w:name w:val="heading 9"/>
    <w:basedOn w:val="Normal"/>
    <w:next w:val="Normal"/>
    <w:qFormat/>
    <w:pPr>
      <w:keepNext w:val="true"/>
      <w:numPr>
        <w:ilvl w:val="8"/>
        <w:numId w:val="1"/>
      </w:numPr>
      <w:jc w:val="both"/>
      <w:outlineLvl w:val="8"/>
    </w:pPr>
    <w:rPr>
      <w:rFonts w:ascii="Arial" w:hAnsi="Arial" w:cs="Arial"/>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b/>
      <w:sz w:val="22"/>
    </w:rPr>
  </w:style>
  <w:style w:type="paragraph" w:styleId="BodyText">
    <w:name w:val="Body Text"/>
    <w:basedOn w:val="Normal"/>
    <w:pPr/>
    <w:rPr>
      <w:rFonts w:ascii="Arial" w:hAnsi="Arial" w:cs="Arial"/>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2160" w:start="2160" w:end="0"/>
    </w:pPr>
    <w:rPr>
      <w:rFonts w:ascii="Arial" w:hAnsi="Arial" w:cs="Arial"/>
      <w:color w:val="000000"/>
    </w:rPr>
  </w:style>
  <w:style w:type="paragraph" w:styleId="BodyTextIndent2">
    <w:name w:val="Body Text Indent 2"/>
    <w:basedOn w:val="Normal"/>
    <w:qFormat/>
    <w:pPr>
      <w:spacing w:lineRule="atLeast" w:line="240"/>
      <w:ind w:hanging="2250" w:start="2250" w:end="0"/>
    </w:pPr>
    <w:rPr>
      <w:rFonts w:ascii="Arial" w:hAnsi="Arial" w:cs="Arial"/>
      <w:color w:val="000000"/>
    </w:rPr>
  </w:style>
  <w:style w:type="paragraph" w:styleId="BodyText2">
    <w:name w:val="Body Text 2"/>
    <w:basedOn w:val="Normal"/>
    <w:qFormat/>
    <w:pPr>
      <w:jc w:val="center"/>
    </w:pPr>
    <w:rPr>
      <w:rFonts w:ascii="Arial" w:hAnsi="Arial" w:cs="Arial"/>
      <w:b/>
    </w:rPr>
  </w:style>
  <w:style w:type="paragraph" w:styleId="BodyTextIndent3">
    <w:name w:val="Body Text Indent 3"/>
    <w:basedOn w:val="Normal"/>
    <w:qFormat/>
    <w:pPr>
      <w:ind w:hanging="0" w:start="2160" w:end="0"/>
      <w:jc w:val="both"/>
    </w:pPr>
    <w:rPr>
      <w:rFonts w:ascii="Arial" w:hAnsi="Arial"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2001-08-27T10:58:00Z</dcterms:created>
  <dc:creator>David Fairley</dc:creator>
  <dc:description/>
  <dc:language>en-CA</dc:language>
  <cp:lastModifiedBy>bbraddo</cp:lastModifiedBy>
  <cp:lastPrinted>2001-07-05T12:31:00Z</cp:lastPrinted>
  <dcterms:modified xsi:type="dcterms:W3CDTF">2001-08-27T13:17:00Z</dcterms:modified>
  <cp:revision>6</cp:revision>
  <dc:subject/>
  <dc:title>PROPOSAL</dc:title>
</cp:coreProperties>
</file>