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Sempra Energy Trading Corp.</w:t>
      </w:r>
    </w:p>
    <w:p>
      <w:pPr>
        <w:pStyle w:val="Normal"/>
        <w:jc w:val="both"/>
        <w:rPr>
          <w:rFonts w:ascii="Times New Roman" w:hAnsi="Times New Roman" w:cs="Times New Roman"/>
          <w:sz w:val="22"/>
        </w:rPr>
      </w:pPr>
      <w:r>
        <w:rPr>
          <w:rFonts w:cs="Times New Roman" w:ascii="Times New Roman" w:hAnsi="Times New Roman"/>
          <w:sz w:val="22"/>
        </w:rPr>
        <w:t>58 Commerce Road</w:t>
      </w:r>
    </w:p>
    <w:p>
      <w:pPr>
        <w:pStyle w:val="Normal"/>
        <w:jc w:val="both"/>
        <w:rPr>
          <w:rFonts w:ascii="Times New Roman" w:hAnsi="Times New Roman" w:cs="Times New Roman"/>
          <w:sz w:val="22"/>
        </w:rPr>
      </w:pPr>
      <w:r>
        <w:rPr>
          <w:rFonts w:cs="Times New Roman" w:ascii="Times New Roman" w:hAnsi="Times New Roman"/>
          <w:sz w:val="22"/>
        </w:rPr>
        <w:t>Stamford, Connecticut  06902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the possible access to and use of a web-based transactions-support system for online and offline commodity trades (including derivatives products) proprietary to the Protected Party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SEMPRA ENERGY TRADING CORP.</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/mnt/main-storage/datasets/enron-docs/doc/sempra_energy_trading.doc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Sempra Energy Trading Corp.</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2001-03-30T18:03:00Z</dcterms:created>
  <dc:creator>ECT</dc:creator>
  <dc:description/>
  <dc:language>en-CA</dc:language>
  <cp:lastModifiedBy>tjones</cp:lastModifiedBy>
  <cp:lastPrinted>2001-03-30T14:34:00Z</cp:lastPrinted>
  <dcterms:modified xsi:type="dcterms:W3CDTF">2001-03-30T18:05:00Z</dcterms:modified>
  <cp:revision>5</cp:revision>
  <dc:subject/>
  <dc:title>Long Form Confidentiality Agreement</dc:title>
</cp:coreProperties>
</file>