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Garamond" w:ascii="Garamond" w:hAnsi="Garamond"/>
          <w:b/>
          <w:bCs/>
          <w:i/>
          <w:iCs/>
          <w:sz w:val="28"/>
        </w:rPr>
        <w:t xml:space="preserve">McRay Money Management, </w:t>
      </w:r>
      <w:r>
        <w:rPr>
          <w:rFonts w:cs="Garamond" w:ascii="Garamond" w:hAnsi="Garamond"/>
          <w:b/>
          <w:bCs/>
          <w:i/>
          <w:iCs/>
          <w:sz w:val="16"/>
        </w:rPr>
        <w:t>L.L.C.</w:t>
      </w:r>
      <w:r>
        <w:rPr>
          <w:rFonts w:cs="Garamond" w:ascii="Garamond" w:hAnsi="Garamond"/>
          <w:i/>
          <w:iCs/>
          <w:sz w:val="28"/>
        </w:rPr>
        <w:t xml:space="preserve">  cordially invites you to attend a luncheon seminar </w:t>
      </w:r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</w:r>
    </w:p>
    <w:p>
      <w:pPr>
        <w:pStyle w:val="Normal"/>
        <w:pBdr>
          <w:bottom w:val="single" w:sz="12" w:space="1" w:color="000000"/>
        </w:pBdr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</w:r>
    </w:p>
    <w:p>
      <w:pPr>
        <w:pStyle w:val="Normal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</w:r>
    </w:p>
    <w:p>
      <w:pPr>
        <w:pStyle w:val="Normal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</w:r>
    </w:p>
    <w:p>
      <w:pPr>
        <w:pStyle w:val="Heading1"/>
        <w:ind w:hanging="0" w:start="0"/>
        <w:rPr/>
      </w:pPr>
      <w:r>
        <w:rPr/>
        <w:t>The Future of Investment and Estate Planning</w:t>
      </w:r>
    </w:p>
    <w:p>
      <w:pPr>
        <w:pStyle w:val="Normal"/>
        <w:pBdr>
          <w:bottom w:val="single" w:sz="12" w:space="1" w:color="000000"/>
        </w:pBdr>
        <w:rPr>
          <w:rFonts w:ascii="Garamond" w:hAnsi="Garamond" w:cs="Garamond"/>
          <w:b/>
          <w:bCs/>
          <w:sz w:val="36"/>
        </w:rPr>
      </w:pPr>
      <w:r>
        <w:rPr>
          <w:rFonts w:cs="Garamond" w:ascii="Garamond" w:hAnsi="Garamond"/>
          <w:b/>
          <w:bCs/>
          <w:sz w:val="36"/>
        </w:rPr>
      </w:r>
    </w:p>
    <w:p>
      <w:pPr>
        <w:pStyle w:val="Normal"/>
        <w:pBdr>
          <w:bottom w:val="single" w:sz="12" w:space="1" w:color="000000"/>
        </w:pBdr>
        <w:rPr>
          <w:rFonts w:ascii="Garamond" w:hAnsi="Garamond" w:cs="Garamond"/>
          <w:b/>
          <w:bCs/>
          <w:sz w:val="36"/>
        </w:rPr>
      </w:pPr>
      <w:r>
        <w:rPr>
          <w:rFonts w:cs="Garamond" w:ascii="Garamond" w:hAnsi="Garamond"/>
          <w:b/>
          <w:bCs/>
          <w:sz w:val="36"/>
        </w:rPr>
      </w:r>
    </w:p>
    <w:p>
      <w:pPr>
        <w:pStyle w:val="Normal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  <w:t>Presented by:</w:t>
      </w:r>
    </w:p>
    <w:p>
      <w:pPr>
        <w:pStyle w:val="Heading2"/>
        <w:ind w:hanging="0" w:start="0"/>
        <w:rPr>
          <w:rFonts w:ascii="Garamond" w:hAnsi="Garamond" w:cs="Garamond"/>
          <w:b w:val="false"/>
          <w:bCs w:val="false"/>
          <w:sz w:val="28"/>
          <w:u w:val="single"/>
        </w:rPr>
      </w:pPr>
      <w:r>
        <w:rPr>
          <w:rFonts w:cs="Garamond"/>
          <w:b w:val="false"/>
          <w:bCs w:val="false"/>
          <w:sz w:val="28"/>
          <w:u w:val="single"/>
        </w:rPr>
      </w:r>
    </w:p>
    <w:p>
      <w:pPr>
        <w:pStyle w:val="Heading2"/>
        <w:ind w:hanging="0" w:start="0"/>
        <w:rPr/>
      </w:pPr>
      <w:r>
        <w:rPr/>
        <w:t>Laurie A. McRay, CPA, RIA</w:t>
      </w:r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  <w:t xml:space="preserve">Principal Investment Officer – McRay Money Management, </w:t>
      </w:r>
      <w:r>
        <w:rPr>
          <w:rFonts w:cs="Garamond" w:ascii="Garamond" w:hAnsi="Garamond"/>
          <w:i/>
          <w:iCs/>
          <w:sz w:val="16"/>
        </w:rPr>
        <w:t>L.L.C.</w:t>
      </w:r>
    </w:p>
    <w:p>
      <w:pPr>
        <w:pStyle w:val="BodyText"/>
        <w:rPr/>
      </w:pPr>
      <w:r>
        <w:rPr/>
        <w:t>Discussion of investment planning topics, retirement planning under the new tax act, state of the economy and where to invest now.</w:t>
      </w:r>
    </w:p>
    <w:p>
      <w:pPr>
        <w:pStyle w:val="Heading6"/>
        <w:ind w:hanging="0" w:start="0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</w:r>
    </w:p>
    <w:p>
      <w:pPr>
        <w:pStyle w:val="Heading6"/>
        <w:ind w:hanging="0" w:start="0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Scott A. Morrison, JD</w:t>
      </w:r>
    </w:p>
    <w:p>
      <w:pPr>
        <w:pStyle w:val="Heading7"/>
        <w:ind w:hanging="0" w:start="0"/>
        <w:rPr/>
      </w:pPr>
      <w:r>
        <w:rPr/>
        <w:t xml:space="preserve">Estate Tax Attorney – Brown McCarroll, L.L.P. </w:t>
      </w:r>
    </w:p>
    <w:p>
      <w:pPr>
        <w:pStyle w:val="BodyText"/>
        <w:rPr/>
      </w:pPr>
      <w:r>
        <w:rPr/>
        <w:t>Discussion of estate &amp; gift tax planning topics under the new tax act, education planning with 529 plans and other informative topics.</w:t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  <w:t>Date &amp; Time:</w:t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Tuesday, October 30, 2001 at 11:30 a.m. – 12:30a.m.</w:t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  <w:t>Where:</w:t>
      </w:r>
    </w:p>
    <w:p>
      <w:pPr>
        <w:pStyle w:val="Normal"/>
        <w:jc w:val="center"/>
        <w:rPr>
          <w:rFonts w:ascii="Garamond" w:hAnsi="Garamond" w:cs="Garamond"/>
          <w:b/>
          <w:bCs/>
          <w:sz w:val="28"/>
          <w:u w:val="single"/>
        </w:rPr>
      </w:pPr>
      <w:r>
        <w:rPr>
          <w:rFonts w:cs="Garamond" w:ascii="Garamond" w:hAnsi="Garamond"/>
          <w:b/>
          <w:bCs/>
          <w:sz w:val="28"/>
          <w:u w:val="single"/>
        </w:rPr>
      </w:r>
    </w:p>
    <w:p>
      <w:pPr>
        <w:pStyle w:val="Heading2"/>
        <w:ind w:hanging="0" w:start="0"/>
        <w:rPr/>
      </w:pPr>
      <w:r>
        <w:rPr/>
        <w:t xml:space="preserve">The Downtown Club at the MET </w:t>
      </w:r>
    </w:p>
    <w:p>
      <w:pPr>
        <w:pStyle w:val="Heading3"/>
        <w:ind w:hanging="0" w:start="0"/>
        <w:rPr/>
      </w:pPr>
      <w:r>
        <w:rPr/>
        <w:t>340 W. Dallas</w:t>
      </w:r>
    </w:p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Houston, Texas  77002</w:t>
      </w:r>
    </w:p>
    <w:p>
      <w:pPr>
        <w:pStyle w:val="Normal"/>
        <w:jc w:val="center"/>
        <w:rPr/>
      </w:pPr>
      <w:r>
        <w:rPr>
          <w:rFonts w:cs="Garamond" w:ascii="Garamond" w:hAnsi="Garamond"/>
          <w:sz w:val="28"/>
        </w:rPr>
        <w:t>6</w:t>
      </w:r>
      <w:r>
        <w:rPr>
          <w:rFonts w:cs="Garamond" w:ascii="Garamond" w:hAnsi="Garamond"/>
          <w:sz w:val="28"/>
          <w:vertAlign w:val="superscript"/>
        </w:rPr>
        <w:t>th</w:t>
      </w:r>
      <w:r>
        <w:rPr>
          <w:rFonts w:cs="Garamond" w:ascii="Garamond" w:hAnsi="Garamond"/>
          <w:sz w:val="28"/>
        </w:rPr>
        <w:t xml:space="preserve"> Floor – Allen Center Garage</w:t>
      </w:r>
    </w:p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>713.652.0700</w:t>
      </w:r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</w:r>
    </w:p>
    <w:p>
      <w:pPr>
        <w:pStyle w:val="Heading4"/>
        <w:ind w:hanging="0" w:start="0"/>
        <w:rPr/>
      </w:pPr>
      <w:r>
        <w:rPr/>
        <w:t>RSVP</w:t>
      </w:r>
    </w:p>
    <w:p>
      <w:pPr>
        <w:pStyle w:val="Normal"/>
        <w:jc w:val="center"/>
        <w:rPr>
          <w:rFonts w:ascii="Garamond" w:hAnsi="Garamond" w:cs="Garamond"/>
          <w:sz w:val="28"/>
        </w:rPr>
      </w:pPr>
      <w:r>
        <w:rPr>
          <w:rFonts w:cs="Garamond" w:ascii="Garamond" w:hAnsi="Garamond"/>
          <w:sz w:val="28"/>
        </w:rPr>
        <w:t xml:space="preserve">281.788.0817 or 713.861.8253 or </w:t>
      </w:r>
      <w:hyperlink r:id="rId2">
        <w:r>
          <w:rPr>
            <w:rStyle w:val="Hyperlink"/>
            <w:rFonts w:cs="Garamond" w:ascii="Garamond" w:hAnsi="Garamond"/>
            <w:sz w:val="28"/>
          </w:rPr>
          <w:t>laurie@mcraymoney.com</w:t>
        </w:r>
      </w:hyperlink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  <w:t>Limited seating available.  Please feel free to bring a friend.</w:t>
      </w:r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  <w:t>Luncheon cost is $20.00 per person</w:t>
      </w:r>
    </w:p>
    <w:p>
      <w:pPr>
        <w:pStyle w:val="Normal"/>
        <w:jc w:val="center"/>
        <w:rPr>
          <w:rFonts w:ascii="Garamond" w:hAnsi="Garamond" w:cs="Garamond"/>
          <w:i/>
          <w:i/>
          <w:iCs/>
          <w:sz w:val="28"/>
        </w:rPr>
      </w:pPr>
      <w:r>
        <w:rPr>
          <w:rFonts w:cs="Garamond" w:ascii="Garamond" w:hAnsi="Garamond"/>
          <w:i/>
          <w:iCs/>
          <w:sz w:val="28"/>
        </w:rPr>
        <w:t>1 hour of CLE/CPE credit provided</w:t>
      </w:r>
    </w:p>
    <w:sectPr>
      <w:type w:val="nextPage"/>
      <w:pgSz w:w="12240" w:h="15840"/>
      <w:pgMar w:left="1800" w:right="1800" w:gutter="0" w:header="0" w:top="720" w:footer="0" w:bottom="835"/>
      <w:pgBorders w:display="allPages" w:offsetFrom="page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ramond" w:hAnsi="Garamond" w:cs="Garamond"/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Garamond" w:hAnsi="Garamond" w:cs="Garamond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Garamond" w:hAnsi="Garamond" w:cs="Garamond"/>
      <w:i/>
      <w:i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Garamond" w:hAnsi="Garamond" w:cs="Garamond"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ie@mcraymone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2001-10-24T12:28:00Z</dcterms:created>
  <dc:creator>lmcray</dc:creator>
  <dc:description/>
  <dc:language>en-CA</dc:language>
  <cp:lastModifiedBy>lmcray</cp:lastModifiedBy>
  <cp:lastPrinted>2001-10-05T14:33:00Z</cp:lastPrinted>
  <dcterms:modified xsi:type="dcterms:W3CDTF">2001-10-24T12:28:00Z</dcterms:modified>
  <cp:revision>2</cp:revision>
  <dc:subject/>
  <dc:title>M c R a y  C o n s u l t i n g  cordially invites you to attend a seminar on:</dc:title>
</cp:coreProperties>
</file>