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900"/>
        <w:jc w:val="end"/>
        <w:rPr>
          <w:sz w:val="16"/>
        </w:rPr>
      </w:pPr>
      <w:r>
        <w:rPr>
          <w:sz w:val="16"/>
        </w:rPr>
        <w:drawing>
          <wp:inline distT="0" distB="0" distL="0" distR="0">
            <wp:extent cx="2644775" cy="7950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31" r="-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Web"/>
        <w:spacing w:before="0" w:after="0"/>
        <w:rPr>
          <w:rFonts w:ascii="Times New Roman" w:hAnsi="Times New Roman" w:eastAsia="Times New Roman" w:cs="Times New Roman"/>
          <w:sz w:val="20"/>
          <w:lang w:val="en-CA" w:eastAsia="en-CA"/>
        </w:rPr>
      </w:pPr>
      <w:r>
        <w:rPr>
          <w:rFonts w:eastAsia="Times New Roman" w:cs="Times New Roman" w:ascii="Times New Roman" w:hAnsi="Times New Roman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-1371600</wp:posOffset>
                </wp:positionH>
                <wp:positionV relativeFrom="paragraph">
                  <wp:posOffset>57785</wp:posOffset>
                </wp:positionV>
                <wp:extent cx="7772400" cy="6858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685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Impact" w:hAnsi="Impact" w:cs="Impact"/>
                                <w:sz w:val="72"/>
                              </w:rPr>
                            </w:pPr>
                            <w:r>
                              <w:rPr>
                                <w:rFonts w:cs="Impact" w:ascii="Impact" w:hAnsi="Impact"/>
                                <w:sz w:val="72"/>
                              </w:rPr>
                              <w:t>TradersNews Adds New Hourly Indexes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12pt;height:54pt;mso-wrap-distance-left:9.05pt;mso-wrap-distance-right:9.05pt;mso-wrap-distance-top:0pt;mso-wrap-distance-bottom:0pt;margin-top:4.55pt;mso-position-vertical-relative:text;margin-left:-10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Impact" w:hAnsi="Impact" w:cs="Impact"/>
                          <w:sz w:val="72"/>
                        </w:rPr>
                      </w:pPr>
                      <w:r>
                        <w:rPr>
                          <w:rFonts w:cs="Impact" w:ascii="Impact" w:hAnsi="Impact"/>
                          <w:sz w:val="72"/>
                        </w:rPr>
                        <w:t>TradersNews Adds New Hourly Indexes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ind w:start="-900" w:end="-720"/>
        <w:jc w:val="end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-1132205</wp:posOffset>
                </wp:positionH>
                <wp:positionV relativeFrom="paragraph">
                  <wp:posOffset>103505</wp:posOffset>
                </wp:positionV>
                <wp:extent cx="7772400" cy="45720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"/>
                              <w:rPr/>
                            </w:pPr>
                            <w:r>
                              <w:rPr>
                                <w:rFonts w:eastAsia="Verdana" w:cs="Verdana" w:ascii="Verdana" w:hAnsi="Verdana"/>
                                <w:i/>
                                <w:iCs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48"/>
                              </w:rPr>
                              <w:t>Unprecedented Hedging Strategies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7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12pt;height:36pt;mso-wrap-distance-left:9.05pt;mso-wrap-distance-right:9.05pt;mso-wrap-distance-top:0pt;mso-wrap-distance-bottom:0pt;margin-top:8.15pt;mso-position-vertical-relative:text;margin-left:-89.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"/>
                        <w:rPr/>
                      </w:pPr>
                      <w:r>
                        <w:rPr>
                          <w:rFonts w:eastAsia="Verdana" w:cs="Verdana" w:ascii="Verdana" w:hAnsi="Verdana"/>
                          <w:i/>
                          <w:iCs/>
                          <w:sz w:val="48"/>
                        </w:rPr>
                        <w:t xml:space="preserve"> </w:t>
                      </w:r>
                      <w:r>
                        <w:rPr>
                          <w:rFonts w:cs="Verdana" w:ascii="Verdana" w:hAnsi="Verdana"/>
                          <w:i/>
                          <w:iCs/>
                          <w:sz w:val="48"/>
                        </w:rPr>
                        <w:t>Unprecedented Hedging Strategies</w:t>
                      </w:r>
                      <w:r>
                        <w:rPr>
                          <w:rFonts w:cs="Verdana" w:ascii="Verdana" w:hAnsi="Verdana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  <w:b/>
                          <w:bCs/>
                          <w:sz w:val="72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7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end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-789305</wp:posOffset>
                </wp:positionH>
                <wp:positionV relativeFrom="paragraph">
                  <wp:posOffset>499745</wp:posOffset>
                </wp:positionV>
                <wp:extent cx="6972300" cy="571500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71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jc w:val="center"/>
                              <w:rPr/>
                            </w:pPr>
                            <w:r>
                              <w:rPr/>
                              <w:t>TradersNews Energy™ supplies the North American wholesale power markets with innovative hedging tools through its exclusive hourly price indexes.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49pt;height:45pt;mso-wrap-distance-left:9.05pt;mso-wrap-distance-right:9.05pt;mso-wrap-distance-top:0pt;mso-wrap-distance-bottom:0pt;margin-top:39.35pt;mso-position-vertical-relative:text;margin-left:-62.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jc w:val="center"/>
                        <w:rPr/>
                      </w:pPr>
                      <w:r>
                        <w:rPr/>
                        <w:t>TradersNews Energy™ supplies the North American wholesale power markets with innovative hedging tools through its exclusive hourly price indexes.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2"/>
        <w:ind w:end="-1260"/>
        <w:jc w:val="end"/>
        <w:rPr>
          <w:sz w:val="16"/>
        </w:rPr>
      </w:pPr>
      <w:r>
        <w:rPr>
          <w:sz w:val="16"/>
        </w:rPr>
      </w:r>
    </w:p>
    <w:p>
      <w:pPr>
        <w:pStyle w:val="BodyText2"/>
        <w:ind w:end="-1260"/>
        <w:jc w:val="end"/>
        <w:rPr>
          <w:sz w:val="16"/>
        </w:rPr>
      </w:pPr>
      <w:r>
        <w:rPr>
          <w:sz w:val="16"/>
        </w:rPr>
      </w:r>
    </w:p>
    <w:p>
      <w:pPr>
        <w:pStyle w:val="BodyText2"/>
        <w:ind w:end="-1260"/>
        <w:jc w:val="end"/>
        <w:rPr>
          <w:sz w:val="16"/>
        </w:rPr>
      </w:pPr>
      <w:r>
        <w:rPr>
          <w:sz w:val="16"/>
        </w:rPr>
      </w:r>
    </w:p>
    <w:p>
      <w:pPr>
        <w:pStyle w:val="BodyText2"/>
        <w:rPr/>
      </w:pPr>
      <w:r>
        <w:rPr/>
      </w:r>
    </w:p>
    <w:p>
      <w:pPr>
        <w:pStyle w:val="BodyText2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5861050" cy="3940810"/>
                <wp:effectExtent l="0" t="0" r="0" b="0"/>
                <wp:wrapNone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39408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7681" w:dyaOrig="5377">
                                <v:shapetype id="_x0000_tole_rId3" coordsize="21600,21600" o:spt="ole_rId3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3" type="_x0000_tole_rId3" style="width:445.5pt;height:302.75pt" filled="f" o:ole="">
                                  <v:imagedata r:id="rId4" o:title=""/>
                                </v:shape>
                                <o:OLEObject Type="Embed" ProgID="Excel.Sheet.12" ShapeID="ole_rId3" DrawAspect="Content" ObjectID="_1370666169" r:id="rId3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61.5pt;height:310.3pt;mso-wrap-distance-left:9.05pt;mso-wrap-distance-right:9.05pt;mso-wrap-distance-top:0pt;mso-wrap-distance-bottom:0pt;margin-top:1.65pt;mso-position-vertical-relative:text;margin-left:4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7681" w:dyaOrig="5377">
                          <v:shapetype id="_x0000_tole_rId5" coordsize="21600,21600" o:spt="ole_rId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5" type="_x0000_tole_rId5" style="width:445.5pt;height:302.75pt" filled="f" o:ole="">
                            <v:imagedata r:id="rId6" o:title=""/>
                          </v:shape>
                          <o:OLEObject Type="Embed" ProgID="Excel.Sheet.12" ShapeID="ole_rId5" DrawAspect="Content" ObjectID="_1813194556" r:id="rId5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2"/>
        <w:rPr/>
      </w:pPr>
      <w:r>
        <w:rPr/>
      </w:r>
    </w:p>
    <w:p>
      <w:pPr>
        <w:pStyle w:val="BodyText2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-1028700</wp:posOffset>
                </wp:positionH>
                <wp:positionV relativeFrom="paragraph">
                  <wp:posOffset>-4445</wp:posOffset>
                </wp:positionV>
                <wp:extent cx="1714500" cy="3069590"/>
                <wp:effectExtent l="1524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680" cy="3069720"/>
                          <a:chOff x="0" y="0"/>
                          <a:chExt cx="1714680" cy="306972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152388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b/>
                                  <w:szCs w:val="24"/>
                                  <w:bCs/>
                                  <w:rFonts w:ascii="Verdana" w:hAnsi="Verdana" w:eastAsia="Times New Roman" w:cs="Verdana"/>
                                  <w:color w:val="auto"/>
                                  <w:lang w:val="en-US" w:bidi="ar-SA"/>
                                </w:rPr>
                                <w:t xml:space="preserve">Hourly coverage: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2400480"/>
                            <a:ext cx="1486080" cy="66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i/>
                                  <w:szCs w:val="24"/>
                                  <w:iCs/>
                                  <w:rFonts w:ascii="Verdana" w:hAnsi="Verdana" w:eastAsia="Times New Roman" w:cs="Verdana"/>
                                  <w:color w:val="auto"/>
                                  <w:lang w:val="en-US" w:bidi="ar-SA"/>
                                </w:rPr>
                                <w:t xml:space="preserve">Plus: </w:t>
                              </w:r>
                              <w:r>
                                <w:rPr>
                                  <w:kern w:val="2"/>
                                  <w:sz w:val="18"/>
                                  <w:i/>
                                  <w:szCs w:val="24"/>
                                  <w:iCs/>
                                  <w:b/>
                                  <w:bCs/>
                                  <w:rFonts w:ascii="Verdana" w:hAnsi="Verdana" w:eastAsia="Times New Roman" w:cs="Verdana"/>
                                  <w:color w:val="auto"/>
                                  <w:lang w:val="en-US" w:bidi="ar-SA"/>
                                </w:rPr>
                                <w:t>Daily Indexes</w:t>
                              </w:r>
                              <w:r>
                                <w:rPr>
                                  <w:kern w:val="2"/>
                                  <w:sz w:val="18"/>
                                  <w:i/>
                                  <w:szCs w:val="24"/>
                                  <w:iCs/>
                                  <w:rFonts w:ascii="Verdana" w:hAnsi="Verdana" w:eastAsia="Times New Roman" w:cs="Verdana"/>
                                  <w:color w:val="auto"/>
                                  <w:lang w:val="en-US" w:bidi="ar-SA"/>
                                </w:rPr>
                                <w:t xml:space="preserve"> &amp; the most comprehensive </w:t>
                              </w:r>
                              <w:r>
                                <w:rPr>
                                  <w:kern w:val="2"/>
                                  <w:sz w:val="18"/>
                                  <w:i/>
                                  <w:szCs w:val="24"/>
                                  <w:iCs/>
                                  <w:b/>
                                  <w:bCs/>
                                  <w:rFonts w:ascii="Verdana" w:hAnsi="Verdana" w:eastAsia="Times New Roman" w:cs="Verdana"/>
                                  <w:color w:val="auto"/>
                                  <w:lang w:val="en-US" w:bidi="ar-SA"/>
                                </w:rPr>
                                <w:t xml:space="preserve">Forwards </w:t>
                              </w:r>
                              <w:r>
                                <w:rPr>
                                  <w:kern w:val="2"/>
                                  <w:sz w:val="18"/>
                                  <w:i/>
                                  <w:szCs w:val="24"/>
                                  <w:iCs/>
                                  <w:rFonts w:ascii="Verdana" w:hAnsi="Verdana" w:eastAsia="Times New Roman" w:cs="Verdana"/>
                                  <w:color w:val="auto"/>
                                  <w:lang w:val="en-US" w:bidi="ar-SA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342360"/>
                            <a:ext cx="1600200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280" w:after="28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>Cinergy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280" w:after="28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>AEP/No. ECAR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280" w:after="28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>Entergy/SPP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280" w:after="28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 xml:space="preserve">TVA/SERC  </w:t>
                              </w:r>
                              <w:r>
                                <w:rPr>
                                  <w:kern w:val="2"/>
                                  <w:szCs w:val="24"/>
                                  <w:sz w:val="16"/>
                                  <w:i/>
                                  <w:iCs/>
                                  <w:rFonts w:ascii="Verdana" w:hAnsi="Verdana" w:eastAsia="Arial Unicode MS" w:cs="Verdana"/>
                                  <w:color w:val="FF0000"/>
                                  <w:lang w:val="en-US" w:bidi="ar-SA"/>
                                </w:rPr>
                                <w:t>NEW!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280" w:after="28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 xml:space="preserve">ComEd/MAIN </w:t>
                              </w:r>
                              <w:r>
                                <w:rPr>
                                  <w:kern w:val="2"/>
                                  <w:szCs w:val="24"/>
                                  <w:sz w:val="16"/>
                                  <w:i/>
                                  <w:iCs/>
                                  <w:rFonts w:ascii="Verdana" w:hAnsi="Verdana" w:eastAsia="Arial Unicode MS" w:cs="Verdana"/>
                                  <w:color w:val="FF0000"/>
                                  <w:lang w:val="en-US" w:bidi="ar-SA"/>
                                </w:rPr>
                                <w:t>NEW!</w:t>
                              </w:r>
                              <w:r>
                                <w:rPr>
                                  <w:kern w:val="2"/>
                                  <w:szCs w:val="24"/>
                                  <w:sz w:val="20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280" w:after="28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4"/>
                                  <w:rFonts w:ascii="Verdana" w:hAnsi="Verdana" w:eastAsia="Arial Unicode MS" w:cs="Verdana"/>
                                  <w:color w:val="auto"/>
                                  <w:lang w:val="en-US" w:bidi="ar-SA"/>
                                </w:rPr>
                                <w:t xml:space="preserve">ERCOT </w:t>
                              </w:r>
                              <w:r>
                                <w:rPr>
                                  <w:kern w:val="2"/>
                                  <w:szCs w:val="24"/>
                                  <w:sz w:val="16"/>
                                  <w:i/>
                                  <w:iCs/>
                                  <w:rFonts w:ascii="Verdana" w:hAnsi="Verdana" w:eastAsia="Arial Unicode MS" w:cs="Verdana"/>
                                  <w:color w:val="FF0000"/>
                                  <w:lang w:val="en-US" w:bidi="ar-SA"/>
                                </w:rPr>
                                <w:t>NEW!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342360"/>
                            <a:ext cx="178920" cy="1828800"/>
                          </a:xfrm>
                        </wpg:grpSpPr>
                        <wps:wsp>
                          <wps:cNvPr id="7" name=""/>
                          <wps:cNvSpPr/>
                          <wps:spPr>
                            <a:xfrm>
                              <a:off x="0" y="0"/>
                              <a:ext cx="178920" cy="114480"/>
                            </a:xfrm>
                            <a:prstGeom prst="lightningBolt">
                              <a:avLst/>
                            </a:prstGeom>
                            <a:solidFill>
                              <a:srgbClr val="ffff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"/>
                          <wps:cNvSpPr/>
                          <wps:spPr>
                            <a:xfrm>
                              <a:off x="0" y="342720"/>
                              <a:ext cx="178920" cy="114480"/>
                            </a:xfrm>
                            <a:prstGeom prst="lightningBolt">
                              <a:avLst/>
                            </a:prstGeom>
                            <a:solidFill>
                              <a:srgbClr val="ffff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"/>
                          <wps:cNvSpPr/>
                          <wps:spPr>
                            <a:xfrm>
                              <a:off x="0" y="685800"/>
                              <a:ext cx="178920" cy="114480"/>
                            </a:xfrm>
                            <a:prstGeom prst="lightningBolt">
                              <a:avLst/>
                            </a:prstGeom>
                            <a:solidFill>
                              <a:srgbClr val="ffff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"/>
                          <wps:cNvSpPr/>
                          <wps:spPr>
                            <a:xfrm>
                              <a:off x="0" y="1028520"/>
                              <a:ext cx="178920" cy="114480"/>
                            </a:xfrm>
                            <a:prstGeom prst="lightningBolt">
                              <a:avLst/>
                            </a:prstGeom>
                            <a:solidFill>
                              <a:srgbClr val="ffff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"/>
                          <wps:cNvSpPr/>
                          <wps:spPr>
                            <a:xfrm>
                              <a:off x="0" y="1371600"/>
                              <a:ext cx="178920" cy="114480"/>
                            </a:xfrm>
                            <a:prstGeom prst="lightningBolt">
                              <a:avLst/>
                            </a:prstGeom>
                            <a:solidFill>
                              <a:srgbClr val="ffff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"/>
                          <wps:cNvSpPr/>
                          <wps:spPr>
                            <a:xfrm>
                              <a:off x="0" y="1714320"/>
                              <a:ext cx="178920" cy="114480"/>
                            </a:xfrm>
                            <a:prstGeom prst="lightningBolt">
                              <a:avLst/>
                            </a:prstGeom>
                            <a:solidFill>
                              <a:srgbClr val="ffff00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81pt;margin-top:-0.35pt;width:135pt;height:241.7pt" coordorigin="-1620,-7" coordsize="2700,4834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o:allowincell="f" style="position:absolute;left:-1620;top:-7;width:239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b/>
                            <w:szCs w:val="24"/>
                            <w:bCs/>
                            <w:rFonts w:ascii="Verdana" w:hAnsi="Verdana" w:eastAsia="Times New Roman" w:cs="Verdana"/>
                            <w:color w:val="auto"/>
                            <w:lang w:val="en-US" w:bidi="ar-SA"/>
                          </w:rPr>
                          <w:t xml:space="preserve">Hourly coverage: 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-1440;top:3773;width:2339;height:105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i/>
                            <w:szCs w:val="24"/>
                            <w:iCs/>
                            <w:rFonts w:ascii="Verdana" w:hAnsi="Verdana" w:eastAsia="Times New Roman" w:cs="Verdana"/>
                            <w:color w:val="auto"/>
                            <w:lang w:val="en-US" w:bidi="ar-SA"/>
                          </w:rPr>
                          <w:t xml:space="preserve">Plus: </w:t>
                        </w:r>
                        <w:r>
                          <w:rPr>
                            <w:kern w:val="2"/>
                            <w:sz w:val="18"/>
                            <w:i/>
                            <w:szCs w:val="24"/>
                            <w:iCs/>
                            <w:b/>
                            <w:bCs/>
                            <w:rFonts w:ascii="Verdana" w:hAnsi="Verdana" w:eastAsia="Times New Roman" w:cs="Verdana"/>
                            <w:color w:val="auto"/>
                            <w:lang w:val="en-US" w:bidi="ar-SA"/>
                          </w:rPr>
                          <w:t>Daily Indexes</w:t>
                        </w:r>
                        <w:r>
                          <w:rPr>
                            <w:kern w:val="2"/>
                            <w:sz w:val="18"/>
                            <w:i/>
                            <w:szCs w:val="24"/>
                            <w:iCs/>
                            <w:rFonts w:ascii="Verdana" w:hAnsi="Verdana" w:eastAsia="Times New Roman" w:cs="Verdana"/>
                            <w:color w:val="auto"/>
                            <w:lang w:val="en-US" w:bidi="ar-SA"/>
                          </w:rPr>
                          <w:t xml:space="preserve"> &amp; the most comprehensive </w:t>
                        </w:r>
                        <w:r>
                          <w:rPr>
                            <w:kern w:val="2"/>
                            <w:sz w:val="18"/>
                            <w:i/>
                            <w:szCs w:val="24"/>
                            <w:iCs/>
                            <w:b/>
                            <w:bCs/>
                            <w:rFonts w:ascii="Verdana" w:hAnsi="Verdana" w:eastAsia="Times New Roman" w:cs="Verdana"/>
                            <w:color w:val="auto"/>
                            <w:lang w:val="en-US" w:bidi="ar-SA"/>
                          </w:rPr>
                          <w:t xml:space="preserve">Forwards </w:t>
                        </w:r>
                        <w:r>
                          <w:rPr>
                            <w:kern w:val="2"/>
                            <w:sz w:val="18"/>
                            <w:i/>
                            <w:szCs w:val="24"/>
                            <w:iCs/>
                            <w:rFonts w:ascii="Verdana" w:hAnsi="Verdana" w:eastAsia="Times New Roman" w:cs="Verdana"/>
                            <w:color w:val="auto"/>
                            <w:lang w:val="en-US" w:bidi="ar-SA"/>
                          </w:rPr>
                          <w:t>available.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-1440;top:532;width:2519;height:32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280" w:after="28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>Cinergy</w:t>
                        </w:r>
                      </w:p>
                      <w:p>
                        <w:pPr>
                          <w:overflowPunct w:val="false"/>
                          <w:bidi w:val="0"/>
                          <w:spacing w:before="280" w:after="28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>AEP/No. ECAR</w:t>
                        </w:r>
                      </w:p>
                      <w:p>
                        <w:pPr>
                          <w:overflowPunct w:val="false"/>
                          <w:bidi w:val="0"/>
                          <w:spacing w:before="280" w:after="28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>Entergy/SPP</w:t>
                        </w:r>
                      </w:p>
                      <w:p>
                        <w:pPr>
                          <w:overflowPunct w:val="false"/>
                          <w:bidi w:val="0"/>
                          <w:spacing w:before="280" w:after="28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 xml:space="preserve">TVA/SERC  </w:t>
                        </w:r>
                        <w:r>
                          <w:rPr>
                            <w:kern w:val="2"/>
                            <w:szCs w:val="24"/>
                            <w:sz w:val="16"/>
                            <w:i/>
                            <w:iCs/>
                            <w:rFonts w:ascii="Verdana" w:hAnsi="Verdana" w:eastAsia="Arial Unicode MS" w:cs="Verdana"/>
                            <w:color w:val="FF0000"/>
                            <w:lang w:val="en-US" w:bidi="ar-SA"/>
                          </w:rPr>
                          <w:t>NEW!</w:t>
                        </w:r>
                      </w:p>
                      <w:p>
                        <w:pPr>
                          <w:overflowPunct w:val="false"/>
                          <w:bidi w:val="0"/>
                          <w:spacing w:before="280" w:after="28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 xml:space="preserve">ComEd/MAIN </w:t>
                        </w:r>
                        <w:r>
                          <w:rPr>
                            <w:kern w:val="2"/>
                            <w:szCs w:val="24"/>
                            <w:sz w:val="16"/>
                            <w:i/>
                            <w:iCs/>
                            <w:rFonts w:ascii="Verdana" w:hAnsi="Verdana" w:eastAsia="Arial Unicode MS" w:cs="Verdana"/>
                            <w:color w:val="FF0000"/>
                            <w:lang w:val="en-US" w:bidi="ar-SA"/>
                          </w:rPr>
                          <w:t>NEW!</w:t>
                        </w:r>
                        <w:r>
                          <w:rPr>
                            <w:kern w:val="2"/>
                            <w:szCs w:val="24"/>
                            <w:sz w:val="20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bidi w:val="0"/>
                          <w:spacing w:before="280" w:after="280"/>
                          <w:rPr/>
                        </w:pPr>
                        <w:r>
                          <w:rPr>
                            <w:kern w:val="2"/>
                            <w:sz w:val="20"/>
                            <w:szCs w:val="24"/>
                            <w:rFonts w:ascii="Verdana" w:hAnsi="Verdana" w:eastAsia="Arial Unicode MS" w:cs="Verdana"/>
                            <w:color w:val="auto"/>
                            <w:lang w:val="en-US" w:bidi="ar-SA"/>
                          </w:rPr>
                          <w:t xml:space="preserve">ERCOT </w:t>
                        </w:r>
                        <w:r>
                          <w:rPr>
                            <w:kern w:val="2"/>
                            <w:szCs w:val="24"/>
                            <w:sz w:val="16"/>
                            <w:i/>
                            <w:iCs/>
                            <w:rFonts w:ascii="Verdana" w:hAnsi="Verdana" w:eastAsia="Arial Unicode MS" w:cs="Verdana"/>
                            <w:color w:val="FF0000"/>
                            <w:lang w:val="en-US" w:bidi="ar-SA"/>
                          </w:rPr>
                          <w:t>NEW!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group id="shape_0" style="position:absolute;left:-1620;top:532;width:282;height:2880">
                  <v:shapetype id="_x0000_t73" coordsize="21600,21600" o:spt="73" path="m8472,l12860,6080l11050,6797l16577,12007l14767,12877l21600,21600l10012,14915l12222,13987l5022,9705l7602,8382l,3890xe">
                    <v:stroke joinstyle="miter"/>
                    <v:formulas>
                      <v:f eqn="val 5022"/>
                      <v:f eqn="val 8472"/>
                      <v:f eqn="val 8757"/>
                      <v:f eqn="val 10012"/>
                      <v:f eqn="val 12860"/>
                      <v:f eqn="val 13917"/>
                      <v:f eqn="val 16577"/>
                      <v:f eqn="val 3890"/>
                      <v:f eqn="val 6080"/>
                      <v:f eqn="val 7437"/>
                      <v:f eqn="val 9705"/>
                      <v:f eqn="val 12007"/>
                      <v:f eqn="val 14277"/>
                      <v:f eqn="val 14915"/>
                    </v:formulas>
                    <v:path gradientshapeok="t" o:connecttype="rect" textboxrect="@2,@9,@5,@12"/>
                  </v:shapetype>
                  <v:shape id="shape_0" fillcolor="yellow" stroked="t" o:allowincell="f" style="position:absolute;left:-1620;top:532;width:281;height:179;mso-wrap-style:none;v-text-anchor:middle" type="_x0000_t73">
                    <v:fill o:detectmouseclick="t" type="solid" color2="blue"/>
                    <v:stroke color="black" weight="9360" joinstyle="miter" endcap="flat"/>
                    <w10:wrap type="none"/>
                  </v:shape>
                  <v:shape id="shape_0" fillcolor="yellow" stroked="t" o:allowincell="f" style="position:absolute;left:-1620;top:1072;width:281;height:179;mso-wrap-style:none;v-text-anchor:middle" type="_x0000_t73">
                    <v:fill o:detectmouseclick="t" type="solid" color2="blue"/>
                    <v:stroke color="black" weight="9360" joinstyle="miter" endcap="flat"/>
                    <w10:wrap type="none"/>
                  </v:shape>
                  <v:shape id="shape_0" fillcolor="yellow" stroked="t" o:allowincell="f" style="position:absolute;left:-1620;top:1612;width:281;height:179;mso-wrap-style:none;v-text-anchor:middle" type="_x0000_t73">
                    <v:fill o:detectmouseclick="t" type="solid" color2="blue"/>
                    <v:stroke color="black" weight="9360" joinstyle="miter" endcap="flat"/>
                    <w10:wrap type="none"/>
                  </v:shape>
                  <v:shape id="shape_0" fillcolor="yellow" stroked="t" o:allowincell="f" style="position:absolute;left:-1620;top:2152;width:281;height:179;mso-wrap-style:none;v-text-anchor:middle" type="_x0000_t73">
                    <v:fill o:detectmouseclick="t" type="solid" color2="blue"/>
                    <v:stroke color="black" weight="9360" joinstyle="miter" endcap="flat"/>
                    <w10:wrap type="none"/>
                  </v:shape>
                  <v:shape id="shape_0" fillcolor="yellow" stroked="t" o:allowincell="f" style="position:absolute;left:-1620;top:2692;width:281;height:179;mso-wrap-style:none;v-text-anchor:middle" type="_x0000_t73">
                    <v:fill o:detectmouseclick="t" type="solid" color2="blue"/>
                    <v:stroke color="black" weight="9360" joinstyle="miter" endcap="flat"/>
                    <w10:wrap type="none"/>
                  </v:shape>
                  <v:shape id="shape_0" fillcolor="yellow" stroked="t" o:allowincell="f" style="position:absolute;left:-1620;top:3232;width:281;height:179;mso-wrap-style:none;v-text-anchor:middle" type="_x0000_t73">
                    <v:fill o:detectmouseclick="t" type="solid" color2="blue"/>
                    <v:stroke color="black" weight="9360" joinstyle="miter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  <w:sz w:val="20"/>
          <w:lang w:val="en-CA" w:eastAsia="en-CA"/>
        </w:rPr>
      </w:pPr>
      <w:r>
        <w:rPr>
          <w:rFonts w:cs="Verdana" w:ascii="Verdana" w:hAnsi="Verdana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-800100</wp:posOffset>
                </wp:positionH>
                <wp:positionV relativeFrom="paragraph">
                  <wp:posOffset>6350</wp:posOffset>
                </wp:positionV>
                <wp:extent cx="2857500" cy="1485900"/>
                <wp:effectExtent l="0" t="0" r="0" b="0"/>
                <wp:wrapNone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85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2"/>
                              <w:numPr>
                                <w:ilvl w:val="0"/>
                                <w:numId w:val="2"/>
                              </w:numPr>
                              <w:rPr>
                                <w:rStyle w:val="Strong"/>
                                <w:rFonts w:ascii="Verdana" w:hAnsi="Verdana" w:cs="Verdana"/>
                                <w:b w:val="false"/>
                                <w:bCs w:val="false"/>
                                <w:sz w:val="22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cs="Verdana" w:ascii="Verdana" w:hAnsi="Verdana"/>
                                <w:b w:val="false"/>
                                <w:bCs w:val="false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cs="Verdana" w:ascii="Verdana" w:hAnsi="Verdana"/>
                                <w:b w:val="false"/>
                                <w:bCs w:val="false"/>
                                <w:sz w:val="22"/>
                              </w:rPr>
                              <w:t>only indexes tracking the hourly markets.</w:t>
                            </w:r>
                          </w:p>
                          <w:p>
                            <w:pPr>
                              <w:pStyle w:val="BodyText2"/>
                              <w:rPr>
                                <w:rStyle w:val="Strong"/>
                                <w:rFonts w:ascii="Verdana" w:hAnsi="Verdana" w:cs="Verdana"/>
                                <w:b w:val="false"/>
                                <w:bCs w:val="false"/>
                                <w:sz w:val="22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2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Style w:val="Strong"/>
                                <w:rFonts w:cs="Verdana" w:ascii="Verdana" w:hAnsi="Verdana"/>
                                <w:b w:val="false"/>
                                <w:bCs w:val="false"/>
                                <w:sz w:val="22"/>
                              </w:rPr>
                              <w:t>Next-day assessments offer a c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learer picture of the markets' volatility – and strategies for profiting from it.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5pt;height:117pt;mso-wrap-distance-left:9.05pt;mso-wrap-distance-right:9.05pt;mso-wrap-distance-top:0pt;mso-wrap-distance-bottom:0pt;margin-top:0.5pt;mso-position-vertical-relative:text;margin-left:-6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cs="Verdana" w:ascii="Verdana" w:hAnsi="Verdana"/>
                          <w:sz w:val="22"/>
                        </w:rPr>
                      </w:r>
                    </w:p>
                    <w:p>
                      <w:pPr>
                        <w:pStyle w:val="BodyText2"/>
                        <w:numPr>
                          <w:ilvl w:val="0"/>
                          <w:numId w:val="2"/>
                        </w:numPr>
                        <w:rPr>
                          <w:rStyle w:val="Strong"/>
                          <w:rFonts w:ascii="Verdana" w:hAnsi="Verdana" w:cs="Verdana"/>
                          <w:b w:val="false"/>
                          <w:bCs w:val="false"/>
                          <w:sz w:val="22"/>
                        </w:rPr>
                      </w:pPr>
                      <w:r>
                        <w:rPr>
                          <w:rFonts w:cs="Verdana" w:ascii="Verdana" w:hAnsi="Verdana"/>
                          <w:sz w:val="22"/>
                        </w:rPr>
                        <w:t>The</w:t>
                      </w:r>
                      <w:r>
                        <w:rPr>
                          <w:rFonts w:cs="Verdana" w:ascii="Verdana" w:hAnsi="Verdana"/>
                          <w:b w:val="false"/>
                          <w:bCs w:val="false"/>
                          <w:sz w:val="22"/>
                        </w:rPr>
                        <w:t xml:space="preserve"> </w:t>
                      </w:r>
                      <w:r>
                        <w:rPr>
                          <w:rStyle w:val="Strong"/>
                          <w:rFonts w:cs="Verdana" w:ascii="Verdana" w:hAnsi="Verdana"/>
                          <w:b w:val="false"/>
                          <w:bCs w:val="false"/>
                          <w:sz w:val="22"/>
                        </w:rPr>
                        <w:t>only indexes tracking the hourly markets.</w:t>
                      </w:r>
                    </w:p>
                    <w:p>
                      <w:pPr>
                        <w:pStyle w:val="BodyText2"/>
                        <w:rPr>
                          <w:rStyle w:val="Strong"/>
                          <w:rFonts w:ascii="Verdana" w:hAnsi="Verdana" w:cs="Verdana"/>
                          <w:b w:val="false"/>
                          <w:bCs w:val="false"/>
                          <w:sz w:val="22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BodyText2"/>
                        <w:numPr>
                          <w:ilvl w:val="0"/>
                          <w:numId w:val="2"/>
                        </w:numPr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Style w:val="Strong"/>
                          <w:rFonts w:cs="Verdana" w:ascii="Verdana" w:hAnsi="Verdana"/>
                          <w:b w:val="false"/>
                          <w:bCs w:val="false"/>
                          <w:sz w:val="22"/>
                        </w:rPr>
                        <w:t>Next-day assessments offer a c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learer picture of the markets' volatility – and strategies for profiting from it.</w:t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2395855</wp:posOffset>
                </wp:positionH>
                <wp:positionV relativeFrom="paragraph">
                  <wp:posOffset>1905</wp:posOffset>
                </wp:positionV>
                <wp:extent cx="3895090" cy="1837690"/>
                <wp:effectExtent l="0" t="0" r="0" b="0"/>
                <wp:wrapNone/>
                <wp:docPr id="1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090" cy="1837690"/>
                        </a:xfrm>
                        <a:prstGeom prst="rect"/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20"/>
                              </w:rPr>
                              <w:t>The market agrees:  TradersNews Indexes are the benchmark for financial hourly trading.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sz w:val="20"/>
                              </w:rPr>
                              <w:t>This is extremely valuable. This is more information than any marketer has ever seen in their life.”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i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i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20"/>
                              </w:rPr>
                              <w:t>This is an ideal tool. I hope my counterparties don’t get this.”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i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i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rFonts w:cs="Verdana" w:ascii="Verdana" w:hAnsi="Verdana"/>
                                <w:i/>
                                <w:iCs/>
                                <w:sz w:val="20"/>
                              </w:rPr>
                              <w:t>You guys have a great product. The market needs an agreed-upon hourly market price.”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i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b/>
                                <w:bCs/>
                                <w:i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CC00" strokecolor="#000000" strokeweight="0pt" style="position:absolute;rotation:-0;width:306.7pt;height:144.7pt;mso-wrap-distance-left:9.05pt;mso-wrap-distance-right:9.05pt;mso-wrap-distance-top:0pt;mso-wrap-distance-bottom:0pt;margin-top:0.15pt;mso-position-vertical-relative:text;margin-left:188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20"/>
                        </w:rPr>
                        <w:t>The market agrees:  TradersNews Indexes are the benchmark for financial hourly trading.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20"/>
                        </w:rPr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sz w:val="20"/>
                        </w:rPr>
                        <w:t>“</w:t>
                      </w:r>
                      <w:r>
                        <w:rPr>
                          <w:sz w:val="20"/>
                        </w:rPr>
                        <w:t>This is extremely valuable. This is more information than any marketer has ever seen in their life.”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i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i/>
                          <w:iCs/>
                          <w:sz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i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i/>
                          <w:iCs/>
                          <w:sz w:val="20"/>
                        </w:rPr>
                        <w:t>“</w:t>
                      </w:r>
                      <w:r>
                        <w:rPr>
                          <w:rFonts w:cs="Verdana" w:ascii="Verdana" w:hAnsi="Verdana"/>
                          <w:i/>
                          <w:iCs/>
                          <w:sz w:val="20"/>
                        </w:rPr>
                        <w:t>This is an ideal tool. I hope my counterparties don’t get this.”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i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i/>
                          <w:iCs/>
                          <w:sz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i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i/>
                          <w:iCs/>
                          <w:sz w:val="20"/>
                        </w:rPr>
                        <w:t>“</w:t>
                      </w:r>
                      <w:r>
                        <w:rPr>
                          <w:rFonts w:cs="Verdana" w:ascii="Verdana" w:hAnsi="Verdana"/>
                          <w:i/>
                          <w:iCs/>
                          <w:sz w:val="20"/>
                        </w:rPr>
                        <w:t>You guys have a great product. The market needs an agreed-upon hourly market price.”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b/>
                          <w:bCs/>
                          <w:i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i/>
                          <w:iCs/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  <w:b/>
                          <w:bCs/>
                          <w:i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i/>
                          <w:iCs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  <w:sz w:val="20"/>
          <w:lang w:val="en-CA" w:eastAsia="en-CA"/>
        </w:rPr>
      </w:pPr>
      <w:r>
        <w:rPr>
          <w:rFonts w:cs="Verdana" w:ascii="Verdana" w:hAnsi="Verdana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-685800</wp:posOffset>
                </wp:positionH>
                <wp:positionV relativeFrom="paragraph">
                  <wp:posOffset>114300</wp:posOffset>
                </wp:positionV>
                <wp:extent cx="6743700" cy="2286000"/>
                <wp:effectExtent l="0" t="0" r="0" b="0"/>
                <wp:wrapNone/>
                <wp:docPr id="1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2860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rPr>
                                <w:rFonts w:ascii="Verdana" w:hAnsi="Verdana" w:cs="Times New Roman"/>
                              </w:rPr>
                            </w:pPr>
                            <w:r>
                              <w:rPr>
                                <w:rFonts w:cs="Times New Roman" w:ascii="Verdana" w:hAnsi="Verdana"/>
                              </w:rPr>
                              <w:t>New Tools for: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Verdana" w:hAnsi="Verdana" w:cs="Times New Roman"/>
                              </w:rPr>
                            </w:pPr>
                            <w:r>
                              <w:rPr>
                                <w:rFonts w:cs="Times New Roman" w:ascii="Verdana" w:hAnsi="Verdana"/>
                              </w:rPr>
                            </w:r>
                          </w:p>
                          <w:p>
                            <w:pPr>
                              <w:pStyle w:val="BodyText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 w:cs="Tahoma"/>
                                <w:i w:val="false"/>
                                <w:i w:val="false"/>
                                <w:iCs w:val="false"/>
                                <w:sz w:val="20"/>
                              </w:rPr>
                            </w:pPr>
                            <w:r>
                              <w:rPr>
                                <w:rFonts w:cs="Tahoma" w:ascii="Verdana" w:hAnsi="Verdana"/>
                                <w:b/>
                                <w:bCs/>
                                <w:i w:val="false"/>
                                <w:iCs w:val="false"/>
                                <w:sz w:val="20"/>
                              </w:rPr>
                              <w:t xml:space="preserve">Wholesale Power Traders </w:t>
                            </w:r>
                            <w:r>
                              <w:rPr>
                                <w:rFonts w:cs="Tahoma" w:ascii="Verdana" w:hAnsi="Verdana"/>
                                <w:i w:val="false"/>
                                <w:iCs w:val="false"/>
                                <w:sz w:val="20"/>
                              </w:rPr>
                              <w:t xml:space="preserve">– Swaps; index trades; tools for improving trading strategies. EnronOnline offers a swap based on the Cinergy hourly index.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20"/>
                              </w:rPr>
                              <w:t xml:space="preserve">Risk Managers </w:t>
                            </w:r>
                            <w:r>
                              <w:rPr>
                                <w:rFonts w:cs="Verdana" w:ascii="Verdana" w:hAnsi="Verdana"/>
                                <w:sz w:val="20"/>
                              </w:rPr>
                              <w:t>– Tracking of physical power movement allows greater precision in Value at Risk modeling.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20"/>
                              </w:rPr>
                              <w:t xml:space="preserve">Back Office/Accounting </w:t>
                            </w:r>
                            <w:r>
                              <w:rPr>
                                <w:rFonts w:cs="Verdana" w:ascii="Verdana" w:hAnsi="Verdana"/>
                                <w:sz w:val="20"/>
                              </w:rPr>
                              <w:t>– Independent price benchmark for Mark to Market and internal transfer accounting.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20"/>
                              </w:rPr>
                              <w:t>Asset Managers/Independent Power Producers</w:t>
                            </w:r>
                            <w:r>
                              <w:rPr>
                                <w:rFonts w:cs="Verdana" w:ascii="Verdana" w:hAnsi="Verdana"/>
                                <w:sz w:val="20"/>
                              </w:rPr>
                              <w:t xml:space="preserve"> – Historical pricing, volumes, weighted averages by hour for improved inter-fuel analysis, load forecasting, ramping decisions.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rPr/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sz w:val="20"/>
                              </w:rPr>
                              <w:t xml:space="preserve">Retail Marketers/Large Industrial &amp; Commercial Energy Consumers </w:t>
                            </w:r>
                            <w:r>
                              <w:rPr>
                                <w:rFonts w:cs="Verdana" w:ascii="Verdana" w:hAnsi="Verdana"/>
                                <w:sz w:val="20"/>
                              </w:rPr>
                              <w:t>– Tool for negotiating power contracts; independent price benchmark for dispute resolution, replacement power costs.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31pt;height:180pt;mso-wrap-distance-left:9.05pt;mso-wrap-distance-right:9.05pt;mso-wrap-distance-top:0pt;mso-wrap-distance-bottom:0pt;margin-top:9pt;mso-position-vertical-relative:text;margin-left:-5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rPr>
                          <w:rFonts w:ascii="Verdana" w:hAnsi="Verdana" w:cs="Times New Roman"/>
                        </w:rPr>
                      </w:pPr>
                      <w:r>
                        <w:rPr>
                          <w:rFonts w:cs="Times New Roman" w:ascii="Verdana" w:hAnsi="Verdana"/>
                        </w:rPr>
                        <w:t>New Tools for:</w:t>
                      </w:r>
                    </w:p>
                    <w:p>
                      <w:pPr>
                        <w:pStyle w:val="BodyText2"/>
                        <w:rPr>
                          <w:rFonts w:ascii="Verdana" w:hAnsi="Verdana" w:cs="Times New Roman"/>
                        </w:rPr>
                      </w:pPr>
                      <w:r>
                        <w:rPr>
                          <w:rFonts w:cs="Times New Roman" w:ascii="Verdana" w:hAnsi="Verdana"/>
                        </w:rPr>
                      </w:r>
                    </w:p>
                    <w:p>
                      <w:pPr>
                        <w:pStyle w:val="BodyText3"/>
                        <w:numPr>
                          <w:ilvl w:val="0"/>
                          <w:numId w:val="3"/>
                        </w:numPr>
                        <w:rPr>
                          <w:rFonts w:ascii="Verdana" w:hAnsi="Verdana" w:cs="Tahoma"/>
                          <w:i w:val="false"/>
                          <w:i w:val="false"/>
                          <w:iCs w:val="false"/>
                          <w:sz w:val="20"/>
                        </w:rPr>
                      </w:pPr>
                      <w:r>
                        <w:rPr>
                          <w:rFonts w:cs="Tahoma" w:ascii="Verdana" w:hAnsi="Verdana"/>
                          <w:b/>
                          <w:bCs/>
                          <w:i w:val="false"/>
                          <w:iCs w:val="false"/>
                          <w:sz w:val="20"/>
                        </w:rPr>
                        <w:t xml:space="preserve">Wholesale Power Traders </w:t>
                      </w:r>
                      <w:r>
                        <w:rPr>
                          <w:rFonts w:cs="Tahoma" w:ascii="Verdana" w:hAnsi="Verdana"/>
                          <w:i w:val="false"/>
                          <w:iCs w:val="false"/>
                          <w:sz w:val="20"/>
                        </w:rPr>
                        <w:t xml:space="preserve">– Swaps; index trades; tools for improving trading strategies. EnronOnline offers a swap based on the Cinergy hourly index.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rPr>
                          <w:rFonts w:ascii="Verdana" w:hAnsi="Verdana" w:cs="Verdan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20"/>
                        </w:rPr>
                        <w:t xml:space="preserve">Risk Managers </w:t>
                      </w:r>
                      <w:r>
                        <w:rPr>
                          <w:rFonts w:cs="Verdana" w:ascii="Verdana" w:hAnsi="Verdana"/>
                          <w:sz w:val="20"/>
                        </w:rPr>
                        <w:t>– Tracking of physical power movement allows greater precision in Value at Risk modeling.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rPr>
                          <w:rFonts w:ascii="Verdana" w:hAnsi="Verdana" w:cs="Verdan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20"/>
                        </w:rPr>
                        <w:t xml:space="preserve">Back Office/Accounting </w:t>
                      </w:r>
                      <w:r>
                        <w:rPr>
                          <w:rFonts w:cs="Verdana" w:ascii="Verdana" w:hAnsi="Verdana"/>
                          <w:sz w:val="20"/>
                        </w:rPr>
                        <w:t>– Independent price benchmark for Mark to Market and internal transfer accounting.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rPr>
                          <w:rFonts w:ascii="Verdana" w:hAnsi="Verdana" w:cs="Verdan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20"/>
                        </w:rPr>
                        <w:t>Asset Managers/Independent Power Producers</w:t>
                      </w:r>
                      <w:r>
                        <w:rPr>
                          <w:rFonts w:cs="Verdana" w:ascii="Verdana" w:hAnsi="Verdana"/>
                          <w:sz w:val="20"/>
                        </w:rPr>
                        <w:t xml:space="preserve"> – Historical pricing, volumes, weighted averages by hour for improved inter-fuel analysis, load forecasting, ramping decisions.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rPr/>
                      </w:pPr>
                      <w:r>
                        <w:rPr>
                          <w:rFonts w:cs="Verdana" w:ascii="Verdana" w:hAnsi="Verdana"/>
                          <w:b/>
                          <w:bCs/>
                          <w:sz w:val="20"/>
                        </w:rPr>
                        <w:t xml:space="preserve">Retail Marketers/Large Industrial &amp; Commercial Energy Consumers </w:t>
                      </w:r>
                      <w:r>
                        <w:rPr>
                          <w:rFonts w:cs="Verdana" w:ascii="Verdana" w:hAnsi="Verdana"/>
                          <w:sz w:val="20"/>
                        </w:rPr>
                        <w:t>– Tool for negotiating power contracts; independent price benchmark for dispute resolution, replacement power costs.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0" w:after="0"/>
        <w:rPr>
          <w:rFonts w:ascii="Tahoma" w:hAnsi="Tahoma" w:eastAsia="Times New Roman" w:cs="Times New Roman"/>
        </w:rPr>
      </w:pPr>
      <w:r>
        <w:rPr>
          <w:rFonts w:eastAsia="Times New Roman" w:cs="Times New Roman" w:ascii="Tahoma" w:hAnsi="Tahoma"/>
        </w:rPr>
      </w:r>
    </w:p>
    <w:p>
      <w:pPr>
        <w:pStyle w:val="NormalWeb"/>
        <w:spacing w:before="0" w:after="0"/>
        <w:rPr>
          <w:rFonts w:ascii="Tahoma" w:hAnsi="Tahoma" w:eastAsia="Times New Roman" w:cs="Times New Roman"/>
        </w:rPr>
      </w:pPr>
      <w:r>
        <w:rPr>
          <w:rFonts w:eastAsia="Times New Roman" w:cs="Times New Roman" w:ascii="Tahoma" w:hAnsi="Tahoma"/>
        </w:rPr>
      </w:r>
    </w:p>
    <w:p>
      <w:pPr>
        <w:pStyle w:val="Normal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Web"/>
        <w:spacing w:before="0" w:after="0"/>
        <w:rPr>
          <w:rFonts w:ascii="Tahoma" w:hAnsi="Tahoma" w:eastAsia="Times New Roman" w:cs="Times New Roman"/>
        </w:rPr>
      </w:pPr>
      <w:r>
        <w:rPr>
          <w:rFonts w:eastAsia="Times New Roman" w:cs="Times New Roman" w:ascii="Tahoma" w:hAnsi="Tahoma"/>
        </w:rPr>
      </w:r>
    </w:p>
    <w:p>
      <w:pPr>
        <w:pStyle w:val="Normal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Web"/>
        <w:spacing w:before="0" w:after="0"/>
        <w:rPr>
          <w:rFonts w:ascii="Tahoma" w:hAnsi="Tahoma" w:eastAsia="Times New Roman" w:cs="Times New Roman"/>
        </w:rPr>
      </w:pPr>
      <w:r>
        <w:rPr>
          <w:rFonts w:eastAsia="Times New Roman" w:cs="Times New Roman" w:ascii="Tahoma" w:hAnsi="Tahoma"/>
        </w:rPr>
      </w:r>
    </w:p>
    <w:p>
      <w:pPr>
        <w:pStyle w:val="NormalWeb"/>
        <w:spacing w:before="0" w:after="0"/>
        <w:rPr>
          <w:rFonts w:ascii="Tahoma" w:hAnsi="Tahoma" w:eastAsia="Times New Roman" w:cs="Times New Roman"/>
        </w:rPr>
      </w:pPr>
      <w:r>
        <w:rPr>
          <w:rFonts w:eastAsia="Times New Roman" w:cs="Times New Roman" w:ascii="Tahoma" w:hAnsi="Tahoma"/>
        </w:rPr>
      </w:r>
    </w:p>
    <w:p>
      <w:pPr>
        <w:pStyle w:val="NormalWeb"/>
        <w:spacing w:before="0" w:after="0"/>
        <w:rPr>
          <w:rFonts w:ascii="Tahoma" w:hAnsi="Tahoma" w:eastAsia="Times New Roman" w:cs="Times New Roman"/>
          <w:sz w:val="20"/>
          <w:lang w:val="en-CA" w:eastAsia="en-CA"/>
        </w:rPr>
      </w:pPr>
      <w:r>
        <w:rPr>
          <w:rFonts w:eastAsia="Times New Roman" w:cs="Times New Roman" w:ascii="Tahoma" w:hAnsi="Tahoma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-228600</wp:posOffset>
                </wp:positionH>
                <wp:positionV relativeFrom="paragraph">
                  <wp:posOffset>232410</wp:posOffset>
                </wp:positionV>
                <wp:extent cx="5943600" cy="342900"/>
                <wp:effectExtent l="0" t="0" r="0" b="0"/>
                <wp:wrapNone/>
                <wp:docPr id="16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Cinergy Hub Hourly On-Peak Trades for 01/09/01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68pt;height:27pt;mso-wrap-distance-left:9.05pt;mso-wrap-distance-right:9.05pt;mso-wrap-distance-top:0pt;mso-wrap-distance-bottom:0pt;margin-top:18.3pt;mso-position-vertical-relative:text;margin-left:-1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Cinergy Hub Hourly On-Peak Trades for 01/09/01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pPr w:vertAnchor="text" w:horzAnchor="margin" w:rightFromText="180" w:tblpX="5" w:tblpY="809"/>
        <w:tblW w:w="855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Tahoma" w:hAnsi="Tahoma" w:cs="Arial"/>
                <w:b/>
                <w:bCs/>
                <w:color w:val="000000"/>
              </w:rPr>
            </w:pPr>
            <w:r>
              <w:rPr>
                <w:rFonts w:cs="Arial" w:ascii="Tahoma" w:hAnsi="Tahoma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Tahoma" w:hAnsi="Tahoma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Tahoma" w:hAnsi="Tahoma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Tahoma" w:hAnsi="Tahoma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Tahoma" w:hAnsi="Tahoma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Tahoma" w:hAnsi="Tahoma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Tahoma" w:hAnsi="Tahom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Tahoma" w:hAnsi="Tahoma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bookmarkStart w:id="0" w:name="OLE_LINK47"/>
            <w:bookmarkEnd w:id="0"/>
            <w:r>
              <w:rPr>
                <w:rFonts w:cs="Arial" w:ascii="Tahoma" w:hAnsi="Tahoma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77.09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80.60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860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75.56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754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69.71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1,093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b/>
                <w:bCs/>
                <w:sz w:val="22"/>
                <w:szCs w:val="20"/>
              </w:rPr>
            </w:pPr>
            <w:r>
              <w:rPr>
                <w:rFonts w:cs="Tahoma" w:ascii="Tahoma" w:hAnsi="Tahoma"/>
                <w:b/>
                <w:bCs/>
                <w:sz w:val="22"/>
                <w:szCs w:val="20"/>
              </w:rPr>
              <w:t>$   75.74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54.25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1,325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42.99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1,362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40.59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1,360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48.60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1,235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b/>
                <w:bCs/>
                <w:sz w:val="22"/>
                <w:szCs w:val="20"/>
              </w:rPr>
            </w:pPr>
            <w:r>
              <w:rPr>
                <w:rFonts w:cs="Tahoma" w:ascii="Tahoma" w:hAnsi="Tahoma"/>
                <w:b/>
                <w:bCs/>
                <w:sz w:val="22"/>
                <w:szCs w:val="20"/>
              </w:rPr>
              <w:t>$   46.61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37.42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690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37.88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43.50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65.37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1,146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76.23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b/>
                <w:bCs/>
                <w:sz w:val="22"/>
                <w:szCs w:val="20"/>
              </w:rPr>
            </w:pPr>
            <w:r>
              <w:rPr>
                <w:rFonts w:cs="Tahoma" w:ascii="Tahoma" w:hAnsi="Tahoma"/>
                <w:b/>
                <w:bCs/>
                <w:sz w:val="22"/>
                <w:szCs w:val="20"/>
              </w:rPr>
              <w:t>$   54.23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75.56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1,160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76.02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1,080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74.29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1,240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68.78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1,225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" w:cs="Tahoma"/>
                <w:b/>
                <w:bCs/>
                <w:sz w:val="22"/>
                <w:szCs w:val="20"/>
              </w:rPr>
            </w:pPr>
            <w:r>
              <w:rPr>
                <w:rFonts w:cs="Tahoma" w:ascii="Tahoma" w:hAnsi="Tahoma"/>
                <w:b/>
                <w:bCs/>
                <w:sz w:val="22"/>
                <w:szCs w:val="20"/>
              </w:rPr>
              <w:t>$   73.66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Tahoma" w:hAnsi="Tahoma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" w:ascii="Tahoma" w:hAnsi="Tahoma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" w:cs="Tahoma"/>
                <w:sz w:val="20"/>
                <w:szCs w:val="20"/>
              </w:rPr>
            </w:pPr>
            <w:r>
              <w:rPr>
                <w:rFonts w:eastAsia="Arial Unicode MS" w:cs="Tahoma" w:ascii="Tahoma" w:hAnsi="Tahoma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>TradersNews Index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cs="Tahoma" w:ascii="Tahoma" w:hAnsi="Tahoma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Tahoma" w:ascii="Tahoma" w:hAnsi="Tahoma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62.56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  <w:t>16,855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</w:rPr>
            </w:r>
          </w:p>
        </w:tc>
      </w:tr>
    </w:tbl>
    <w:p>
      <w:pPr>
        <w:pStyle w:val="Heading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-571500</wp:posOffset>
                </wp:positionH>
                <wp:positionV relativeFrom="paragraph">
                  <wp:posOffset>4391660</wp:posOffset>
                </wp:positionV>
                <wp:extent cx="6972300" cy="1143000"/>
                <wp:effectExtent l="0" t="0" r="0" b="0"/>
                <wp:wrapNone/>
                <wp:docPr id="17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1430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>
                                <w:rFonts w:cs="Tahoma" w:ascii="Tahoma" w:hAnsi="Tahoma"/>
                                <w:sz w:val="20"/>
                              </w:rPr>
                              <w:t xml:space="preserve">For More Information: </w:t>
                            </w:r>
                            <w:r>
                              <w:rPr>
                                <w:rFonts w:cs="Tahoma" w:ascii="Tahoma" w:hAnsi="Tahoma"/>
                                <w:b w:val="false"/>
                                <w:bCs w:val="false"/>
                                <w:sz w:val="20"/>
                              </w:rPr>
                              <w:t xml:space="preserve">Call TradersNews at 1-888-TNE-1006, or visit </w:t>
                            </w:r>
                            <w:r>
                              <w:rPr>
                                <w:rFonts w:cs="Tahoma" w:ascii="Tahoma" w:hAnsi="Tahoma"/>
                                <w:b w:val="false"/>
                                <w:bCs w:val="false"/>
                                <w:color w:val="0000FF"/>
                                <w:sz w:val="20"/>
                              </w:rPr>
                              <w:t>www.tradersnewsenergy.com</w:t>
                            </w:r>
                            <w:r>
                              <w:rPr>
                                <w:rFonts w:cs="Tahoma" w:ascii="Tahoma" w:hAnsi="Tahoma"/>
                                <w:b w:val="false"/>
                                <w:bCs w:val="false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cs="Tahoma" w:ascii="Tahoma" w:hAnsi="Tahoma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cs="Tahoma" w:ascii="Tahoma" w:hAnsi="Tahoma"/>
                                <w:b w:val="false"/>
                                <w:bCs w:val="false"/>
                                <w:sz w:val="20"/>
                              </w:rPr>
                              <w:t xml:space="preserve">In addition to the exclusive TradersNews Hourly Indexes, you’ll also receive TradersNews’ power and natural gas industry and market news.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Tahoma" w:hAnsi="Tahoma" w:cs="Tahoma"/>
                                <w:b w:val="false"/>
                                <w:bCs w:val="false"/>
                                <w:sz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 w:val="false"/>
                                <w:bC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ahoma" w:ascii="Tahoma" w:hAnsi="Tahoma"/>
                                <w:sz w:val="20"/>
                              </w:rPr>
                              <w:t>TradersNews, a service of Internet Publishing Group™, is not affiliated with any energy company. Founded by five former Dow Jones executives in 1999, Internet Publishing Group (</w:t>
                            </w:r>
                            <w:r>
                              <w:rPr>
                                <w:rFonts w:cs="Tahoma" w:ascii="Tahoma" w:hAnsi="Tahoma"/>
                                <w:color w:val="0000FF"/>
                                <w:sz w:val="20"/>
                              </w:rPr>
                              <w:t>www.ipgdirect.com</w:t>
                            </w:r>
                            <w:r>
                              <w:rPr>
                                <w:rFonts w:cs="Tahoma" w:ascii="Tahoma" w:hAnsi="Tahoma"/>
                                <w:sz w:val="20"/>
                              </w:rPr>
                              <w:t xml:space="preserve">) is an information services company serving clients in energy, commercial real estate and construction.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49pt;height:90pt;mso-wrap-distance-left:9.05pt;mso-wrap-distance-right:9.05pt;mso-wrap-distance-top:0pt;mso-wrap-distance-bottom:0pt;margin-top:345.8pt;mso-position-vertical-relative:text;margin-left:-4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>
                          <w:rFonts w:cs="Tahoma" w:ascii="Tahoma" w:hAnsi="Tahoma"/>
                          <w:sz w:val="20"/>
                        </w:rPr>
                        <w:t xml:space="preserve">For More Information: </w:t>
                      </w:r>
                      <w:r>
                        <w:rPr>
                          <w:rFonts w:cs="Tahoma" w:ascii="Tahoma" w:hAnsi="Tahoma"/>
                          <w:b w:val="false"/>
                          <w:bCs w:val="false"/>
                          <w:sz w:val="20"/>
                        </w:rPr>
                        <w:t xml:space="preserve">Call TradersNews at 1-888-TNE-1006, or visit </w:t>
                      </w:r>
                      <w:r>
                        <w:rPr>
                          <w:rFonts w:cs="Tahoma" w:ascii="Tahoma" w:hAnsi="Tahoma"/>
                          <w:b w:val="false"/>
                          <w:bCs w:val="false"/>
                          <w:color w:val="0000FF"/>
                          <w:sz w:val="20"/>
                        </w:rPr>
                        <w:t>www.tradersnewsenergy.com</w:t>
                      </w:r>
                      <w:r>
                        <w:rPr>
                          <w:rFonts w:cs="Tahoma" w:ascii="Tahoma" w:hAnsi="Tahoma"/>
                          <w:b w:val="false"/>
                          <w:bCs w:val="false"/>
                          <w:sz w:val="20"/>
                        </w:rPr>
                        <w:t>.</w:t>
                      </w:r>
                      <w:r>
                        <w:rPr>
                          <w:rFonts w:cs="Tahoma" w:ascii="Tahoma" w:hAnsi="Tahoma"/>
                          <w:sz w:val="20"/>
                        </w:rPr>
                        <w:t xml:space="preserve">  </w:t>
                      </w:r>
                      <w:r>
                        <w:rPr>
                          <w:rFonts w:cs="Tahoma" w:ascii="Tahoma" w:hAnsi="Tahoma"/>
                          <w:b w:val="false"/>
                          <w:bCs w:val="false"/>
                          <w:sz w:val="20"/>
                        </w:rPr>
                        <w:t xml:space="preserve">In addition to the exclusive TradersNews Hourly Indexes, you’ll also receive TradersNews’ power and natural gas industry and market news. 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ascii="Tahoma" w:hAnsi="Tahoma" w:cs="Tahoma"/>
                          <w:b w:val="false"/>
                          <w:bCs w:val="false"/>
                          <w:sz w:val="20"/>
                        </w:rPr>
                      </w:pPr>
                      <w:r>
                        <w:rPr>
                          <w:rFonts w:cs="Tahoma" w:ascii="Tahoma" w:hAnsi="Tahoma"/>
                          <w:b w:val="false"/>
                          <w:bCs w:val="false"/>
                          <w:sz w:val="20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ahoma" w:ascii="Tahoma" w:hAnsi="Tahoma"/>
                          <w:sz w:val="20"/>
                        </w:rPr>
                        <w:t>TradersNews, a service of Internet Publishing Group™, is not affiliated with any energy company. Founded by five former Dow Jones executives in 1999, Internet Publishing Group (</w:t>
                      </w:r>
                      <w:r>
                        <w:rPr>
                          <w:rFonts w:cs="Tahoma" w:ascii="Tahoma" w:hAnsi="Tahoma"/>
                          <w:color w:val="0000FF"/>
                          <w:sz w:val="20"/>
                        </w:rPr>
                        <w:t>www.ipgdirect.com</w:t>
                      </w:r>
                      <w:r>
                        <w:rPr>
                          <w:rFonts w:cs="Tahoma" w:ascii="Tahoma" w:hAnsi="Tahoma"/>
                          <w:sz w:val="20"/>
                        </w:rPr>
                        <w:t xml:space="preserve">) is an information services company serving clients in energy, commercial real estate and construction. </w:t>
                      </w:r>
                    </w:p>
                    <w:p>
                      <w:pPr>
                        <w:pStyle w:val="Normal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cs="Tahoma" w:ascii="Tahoma" w:hAnsi="Tahoma"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ind w:end="-900"/>
        <w:jc w:val="end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"/>
        <w:ind w:end="-900"/>
        <w:jc w:val="end"/>
        <w:rPr>
          <w:rFonts w:ascii="Verdana" w:hAnsi="Verdana" w:cs="Verdana"/>
          <w:b w:val="false"/>
          <w:bCs w:val="false"/>
          <w:sz w:val="20"/>
          <w:lang w:val="en-CA" w:eastAsia="en-CA"/>
        </w:rPr>
      </w:pPr>
      <w:r>
        <w:rPr>
          <w:rFonts w:cs="Verdana" w:ascii="Verdana" w:hAnsi="Verdana"/>
          <w:b w:val="false"/>
          <w:bCs w:val="false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-800100</wp:posOffset>
                </wp:positionH>
                <wp:positionV relativeFrom="paragraph">
                  <wp:posOffset>57150</wp:posOffset>
                </wp:positionV>
                <wp:extent cx="4000500" cy="981075"/>
                <wp:effectExtent l="0" t="0" r="0" b="0"/>
                <wp:wrapNone/>
                <wp:docPr id="1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810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jc w:val="end"/>
                              <w:rPr>
                                <w:rFonts w:ascii="Verdana" w:hAnsi="Verdana" w:eastAsia="Times New Roman" w:cs="Times New Roman"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eastAsia="Times New Roman" w:cs="Times New Roman" w:ascii="Verdana" w:hAnsi="Verdana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Knowledge is Power…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Verdana" w:hAnsi="Verdana" w:eastAsia="Times New Roman" w:cs="Verdana"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eastAsia="Times New Roman" w:cs="Verdana" w:ascii="Verdana" w:hAnsi="Verdana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Verdana" w:hAnsi="Verdana" w:cs="Verdana"/>
                                <w:b/>
                                <w:bCs/>
                                <w:i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How Powerful Do You Want to Be?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5pt;height:77.25pt;mso-wrap-distance-left:9.05pt;mso-wrap-distance-right:9.05pt;mso-wrap-distance-top:0pt;mso-wrap-distance-bottom:0pt;margin-top:4.5pt;mso-position-vertical-relative:text;margin-left:-6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Web"/>
                        <w:spacing w:before="0" w:after="0"/>
                        <w:jc w:val="end"/>
                        <w:rPr>
                          <w:rFonts w:ascii="Verdana" w:hAnsi="Verdana" w:eastAsia="Times New Roman" w:cs="Times New Roman"/>
                          <w:b/>
                          <w:bCs/>
                          <w:i/>
                          <w:i/>
                          <w:iCs/>
                          <w:sz w:val="28"/>
                        </w:rPr>
                      </w:pPr>
                      <w:r>
                        <w:rPr>
                          <w:rFonts w:eastAsia="Times New Roman" w:cs="Times New Roman" w:ascii="Verdana" w:hAnsi="Verdana"/>
                          <w:b/>
                          <w:bCs/>
                          <w:i/>
                          <w:iCs/>
                          <w:sz w:val="28"/>
                        </w:rPr>
                        <w:t>Knowledge is Power…</w:t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Verdana" w:hAnsi="Verdana" w:eastAsia="Times New Roman" w:cs="Verdana"/>
                          <w:b/>
                          <w:bCs/>
                          <w:i/>
                          <w:i/>
                          <w:iCs/>
                          <w:sz w:val="28"/>
                        </w:rPr>
                      </w:pPr>
                      <w:r>
                        <w:rPr>
                          <w:rFonts w:eastAsia="Times New Roman" w:cs="Verdana" w:ascii="Verdana" w:hAnsi="Verdana"/>
                          <w:b/>
                          <w:bCs/>
                          <w:i/>
                          <w:iCs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Verdana" w:hAnsi="Verdana" w:cs="Verdana"/>
                          <w:b/>
                          <w:bCs/>
                          <w:i/>
                          <w:i/>
                          <w:iCs/>
                          <w:sz w:val="28"/>
                        </w:rPr>
                      </w:pPr>
                      <w:r>
                        <w:rPr>
                          <w:rFonts w:cs="Verdana" w:ascii="Verdana" w:hAnsi="Verdana"/>
                          <w:b/>
                          <w:bCs/>
                          <w:i/>
                          <w:iCs/>
                          <w:sz w:val="28"/>
                        </w:rPr>
                        <w:t>How Powerful Do You Want to Be?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</wp:posOffset>
                </wp:positionV>
                <wp:extent cx="2967990" cy="929005"/>
                <wp:effectExtent l="0" t="0" r="0" b="0"/>
                <wp:wrapNone/>
                <wp:docPr id="1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9290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785110" cy="837565"/>
                                  <wp:effectExtent l="0" t="0" r="0" b="0"/>
                                  <wp:docPr id="20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9" t="-31" r="-9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5110" cy="837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3.7pt;height:73.15pt;mso-wrap-distance-left:9.05pt;mso-wrap-distance-right:9.05pt;mso-wrap-distance-top:0pt;mso-wrap-distance-bottom:0pt;margin-top:4.5pt;mso-position-vertical-relative:text;margin-left:26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785110" cy="837565"/>
                            <wp:effectExtent l="0" t="0" r="0" b="0"/>
                            <wp:docPr id="21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9" t="-31" r="-9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5110" cy="837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ahoma" w:hAnsi="Tahoma" w:cs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ind w:end="-1260"/>
        <w:jc w:val="end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ind w:end="-1260"/>
        <w:rPr>
          <w:rFonts w:ascii="Tahoma" w:hAnsi="Tahoma" w:cs="Tahoma"/>
          <w:sz w:val="20"/>
          <w:lang w:val="en-CA" w:eastAsia="en-CA"/>
        </w:rPr>
      </w:pPr>
      <w:r>
        <w:rPr>
          <w:rFonts w:cs="Tahoma" w:ascii="Tahoma" w:hAnsi="Tahoma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-5029200</wp:posOffset>
                </wp:positionH>
                <wp:positionV relativeFrom="paragraph">
                  <wp:posOffset>1082675</wp:posOffset>
                </wp:positionV>
                <wp:extent cx="3314700" cy="914400"/>
                <wp:effectExtent l="0" t="0" r="0" b="0"/>
                <wp:wrapNone/>
                <wp:docPr id="22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"/>
                              <w:rPr>
                                <w:rFonts w:cs="Tahoma"/>
                                <w:sz w:val="28"/>
                              </w:rPr>
                            </w:pPr>
                            <w:r>
                              <w:rPr>
                                <w:rFonts w:cs="Tahoma"/>
                                <w:sz w:val="28"/>
                              </w:rPr>
                              <w:t>Knowledge is Power…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28"/>
                              </w:rPr>
                              <w:t>How Powerful Do You Want to Be?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1pt;height:72pt;mso-wrap-distance-left:9.05pt;mso-wrap-distance-right:9.05pt;mso-wrap-distance-top:0pt;mso-wrap-distance-bottom:0pt;margin-top:85.25pt;mso-position-vertical-relative:text;margin-left:-39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"/>
                        <w:rPr>
                          <w:rFonts w:cs="Tahoma"/>
                          <w:sz w:val="28"/>
                        </w:rPr>
                      </w:pPr>
                      <w:r>
                        <w:rPr>
                          <w:rFonts w:cs="Tahoma"/>
                          <w:sz w:val="28"/>
                        </w:rPr>
                        <w:t>Knowledge is Power…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28"/>
                        </w:rPr>
                        <w:t>How Powerful Do You Want to Be?</w:t>
                      </w:r>
                    </w:p>
                    <w:p>
                      <w:pPr>
                        <w:pStyle w:val="Normal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cs="Tahoma" w:ascii="Tahoma" w:hAnsi="Tahoma"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72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  <w:font w:name="Impac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2"/>
        </w:tabs>
        <w:ind w:start="288" w:hanging="216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fullPage" w:percent="2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Verdana" w:hAnsi="Verdana" w:cs="Verdana"/>
      <w:b/>
      <w:bCs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spacing w:lineRule="atLeast" w:line="240"/>
      <w:outlineLvl w:val="5"/>
    </w:pPr>
    <w:rPr>
      <w:rFonts w:ascii="Tahoma" w:hAnsi="Tahoma" w:cs="Arial"/>
      <w:b/>
      <w:bCs/>
      <w:color w:val="000000"/>
      <w:sz w:val="18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bCs/>
      <w:sz w:val="72"/>
    </w:rPr>
  </w:style>
  <w:style w:type="paragraph" w:styleId="BodyText">
    <w:name w:val="Body Text"/>
    <w:basedOn w:val="Normal"/>
    <w:pPr>
      <w:jc w:val="center"/>
    </w:pPr>
    <w:rPr>
      <w:rFonts w:ascii="Verdana" w:hAnsi="Verdana" w:cs="Verdana"/>
      <w:i/>
      <w:iCs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odyText3">
    <w:name w:val="Body Text 3"/>
    <w:basedOn w:val="Normal"/>
    <w:qFormat/>
    <w:pPr/>
    <w:rPr>
      <w:rFonts w:ascii="Tahoma" w:hAnsi="Tahoma" w:cs="Tahoma"/>
      <w:i/>
      <w:iCs/>
    </w:rPr>
  </w:style>
  <w:style w:type="paragraph" w:styleId="BodyText2">
    <w:name w:val="Body Text 2"/>
    <w:basedOn w:val="Normal"/>
    <w:qFormat/>
    <w:pPr/>
    <w:rPr>
      <w:rFonts w:ascii="Tahoma" w:hAnsi="Tahoma" w:cs="Tahoma"/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package" Target="embeddings/oleObject1.xlsx"/><Relationship Id="rId4" Type="http://schemas.openxmlformats.org/officeDocument/2006/relationships/image" Target="media/image2.wmf"/><Relationship Id="rId5" Type="http://schemas.openxmlformats.org/officeDocument/2006/relationships/package" Target="embeddings/oleObject2.xlsx"/><Relationship Id="rId6" Type="http://schemas.openxmlformats.org/officeDocument/2006/relationships/image" Target="media/image2.wmf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2001-03-20T12:31:00Z</dcterms:created>
  <dc:creator>richheidorn</dc:creator>
  <dc:description/>
  <dc:language>en-CA</dc:language>
  <cp:lastModifiedBy>RICHHEIDORN</cp:lastModifiedBy>
  <cp:lastPrinted>2001-03-18T21:33:00Z</cp:lastPrinted>
  <dcterms:modified xsi:type="dcterms:W3CDTF">2001-03-20T15:59:00Z</dcterms:modified>
  <cp:revision>5</cp:revision>
  <dc:subject/>
  <dc:title> </dc:title>
</cp:coreProperties>
</file>