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SECTION-BY-SECTION SUMMARY OF</w:t>
      </w:r>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ELECTRICITY EMERGENCY RELIEF ACT</w:t>
      </w:r>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t>APRIL 23 DISCUSSION DRAFT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szCs w:val="28"/>
        </w:rPr>
      </w:pPr>
      <w:r>
        <w:rPr>
          <w:sz w:val="22"/>
          <w:szCs w:val="28"/>
        </w:rPr>
      </w:r>
    </w:p>
    <w:p>
      <w:pPr>
        <w:pStyle w:val="Heading2"/>
        <w:ind w:hanging="0" w:start="0"/>
        <w:jc w:val="start"/>
        <w:rPr>
          <w:smallCaps/>
          <w:sz w:val="22"/>
        </w:rPr>
      </w:pPr>
      <w:r>
        <w:rPr>
          <w:smallCaps/>
          <w:sz w:val="22"/>
        </w:rPr>
        <w:t>Title I – General Measures for Electric Energy Emergencies</w:t>
      </w:r>
    </w:p>
    <w:p>
      <w:pPr>
        <w:pStyle w:val="Normal"/>
        <w:autoSpaceDE w:val="false"/>
        <w:rPr>
          <w:b/>
          <w:bCs/>
          <w:smallCaps/>
          <w:sz w:val="22"/>
          <w:szCs w:val="20"/>
        </w:rPr>
      </w:pPr>
      <w:r>
        <w:rPr>
          <w:b/>
          <w:bCs/>
          <w:smallCaps/>
          <w:sz w:val="22"/>
          <w:szCs w:val="20"/>
        </w:rPr>
      </w:r>
    </w:p>
    <w:p>
      <w:pPr>
        <w:pStyle w:val="Normal"/>
        <w:autoSpaceDE w:val="false"/>
        <w:rPr>
          <w:b/>
          <w:bCs/>
          <w:sz w:val="22"/>
          <w:szCs w:val="20"/>
        </w:rPr>
      </w:pPr>
      <w:r>
        <w:rPr>
          <w:b/>
          <w:bCs/>
          <w:sz w:val="22"/>
          <w:szCs w:val="20"/>
        </w:rPr>
        <w:t>Sec. 101.  Demand Management Agreements Clearinghouse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This section directs the Federal Energy Regulatory Commission (“FERC”) to establish a clearinghouse system to facilitate agreements between wholesale sellers and wholesale purchasers who are willing to forego the purchase of electric energy.  This will provide a venue for those who would auction electric energy to which they have contractual rights.  The FERC would recommend to Congress by January 1, 2003, whether this section should be extended beyond the termination date of October 1, 2003.</w:t>
      </w:r>
    </w:p>
    <w:p>
      <w:pPr>
        <w:pStyle w:val="Normal"/>
        <w:autoSpaceDE w:val="false"/>
        <w:rPr>
          <w:sz w:val="22"/>
          <w:szCs w:val="20"/>
        </w:rPr>
      </w:pPr>
      <w:r>
        <w:rPr>
          <w:sz w:val="22"/>
          <w:szCs w:val="20"/>
        </w:rPr>
      </w:r>
    </w:p>
    <w:p>
      <w:pPr>
        <w:pStyle w:val="BodyText"/>
        <w:rPr>
          <w:sz w:val="22"/>
        </w:rPr>
      </w:pPr>
      <w:r>
        <w:rPr>
          <w:sz w:val="22"/>
        </w:rPr>
        <w:t>Sec. 102.  Price mitigation in western market through demand management incentives</w:t>
      </w:r>
    </w:p>
    <w:p>
      <w:pPr>
        <w:pStyle w:val="Normal"/>
        <w:autoSpaceDE w:val="false"/>
        <w:rPr/>
      </w:pPr>
      <w:r>
        <w:rPr>
          <w:sz w:val="22"/>
          <w:szCs w:val="20"/>
        </w:rPr>
        <w:t xml:space="preserve">This section directs the FERC to establish a program to allow consumers within the Western Systems Coordinating Council (WSCC) to resell, at market prices, a portion of the electricity they would otherwise be entitled to consume under contract or applicable regulation.  This provision would give consumers a financial incentive to conserve electricity at precisely the times of day when demand (and market price) peaks.  The consumer could resell the foregone electricity to either the consumer’s own local utility or to a third party purchaser.  In cases of resales to third parties, the local utility would “credit” the third party for the foregone amount of electricity.  Either way, the local utility would receive the same amount of revenue that it would have received if the consumer had not opted to reduce consumption.  The consumer would benefit from conserving electricity, and the resulting demand reduction would have a “cooling” effect on prices by bringing demand back into balance with supply.  The program would expire in October 2003. </w:t>
      </w:r>
      <w:r>
        <w:rPr>
          <w:sz w:val="22"/>
        </w:rPr>
        <w:t xml:space="preserve">The WSCC region includes all or parts of Washington, Oregon, California, Idaho, Nevada, Montana, Wyoming, Utah, Arizona, Colorado, New Mexico, South Dakota, and Nebraska.  </w:t>
      </w:r>
      <w:r>
        <w:rPr>
          <w:sz w:val="22"/>
          <w:szCs w:val="20"/>
        </w:rPr>
        <w:t xml:space="preserve"> </w:t>
      </w:r>
    </w:p>
    <w:p>
      <w:pPr>
        <w:pStyle w:val="Normal"/>
        <w:autoSpaceDE w:val="false"/>
        <w:rPr>
          <w:sz w:val="22"/>
          <w:szCs w:val="20"/>
        </w:rPr>
      </w:pPr>
      <w:r>
        <w:rPr>
          <w:sz w:val="22"/>
          <w:szCs w:val="20"/>
        </w:rPr>
      </w:r>
    </w:p>
    <w:p>
      <w:pPr>
        <w:pStyle w:val="Heading3"/>
        <w:ind w:hanging="0" w:start="0"/>
        <w:rPr>
          <w:sz w:val="22"/>
        </w:rPr>
      </w:pPr>
      <w:r>
        <w:rPr>
          <w:sz w:val="22"/>
        </w:rPr>
        <w:t>Sec. 103.  Transmission constraints study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This Section directs the Secretary of Energy and the FERC to conduct a joint study of transmission congestion and develop a plan to relieve constraints and report to Congress within 6 months after enactment. </w:t>
      </w:r>
    </w:p>
    <w:p>
      <w:pPr>
        <w:pStyle w:val="Normal"/>
        <w:autoSpaceDE w:val="false"/>
        <w:rPr>
          <w:sz w:val="22"/>
          <w:szCs w:val="20"/>
        </w:rPr>
      </w:pPr>
      <w:r>
        <w:rPr>
          <w:sz w:val="22"/>
          <w:szCs w:val="20"/>
        </w:rPr>
      </w:r>
    </w:p>
    <w:p>
      <w:pPr>
        <w:pStyle w:val="Heading3"/>
        <w:ind w:hanging="0" w:start="0"/>
        <w:rPr>
          <w:sz w:val="22"/>
        </w:rPr>
      </w:pPr>
      <w:r>
        <w:rPr>
          <w:sz w:val="22"/>
        </w:rPr>
        <w:t>Sec. 104.  Path 15 transmission expansion</w:t>
      </w:r>
    </w:p>
    <w:p>
      <w:pPr>
        <w:pStyle w:val="Normal"/>
        <w:rPr>
          <w:sz w:val="22"/>
        </w:rPr>
      </w:pPr>
      <w:r>
        <w:rPr>
          <w:sz w:val="22"/>
          <w:szCs w:val="20"/>
        </w:rPr>
        <w:t>The Western Area Power Administration (WAPA) is authorized $220 million to expand WAPA’s transmission system to reduce the constraint in California along the so-called “Path 15.”  Costs would be recovered from transmission fees, sale of transmission assets, or both.</w:t>
      </w:r>
    </w:p>
    <w:p>
      <w:pPr>
        <w:pStyle w:val="Normal"/>
        <w:autoSpaceDE w:val="false"/>
        <w:rPr>
          <w:sz w:val="22"/>
          <w:szCs w:val="20"/>
        </w:rPr>
      </w:pPr>
      <w:r>
        <w:rPr>
          <w:sz w:val="22"/>
          <w:szCs w:val="20"/>
        </w:rPr>
      </w:r>
    </w:p>
    <w:p>
      <w:pPr>
        <w:pStyle w:val="Heading3"/>
        <w:ind w:hanging="0" w:start="0"/>
        <w:rPr>
          <w:sz w:val="22"/>
        </w:rPr>
      </w:pPr>
      <w:r>
        <w:rPr>
          <w:sz w:val="22"/>
        </w:rPr>
        <w:t>Sec. 105.  Tribal energy office</w:t>
      </w:r>
    </w:p>
    <w:p>
      <w:pPr>
        <w:pStyle w:val="Normal"/>
        <w:rPr>
          <w:sz w:val="22"/>
          <w:szCs w:val="20"/>
        </w:rPr>
      </w:pPr>
      <w:r>
        <w:rPr>
          <w:sz w:val="22"/>
          <w:szCs w:val="20"/>
        </w:rPr>
        <w:t>The Department of Energy (DOE) is directed to establish an Office of Tribal Energy to promote tribal energy efficiency, advise the Secretary on development of energy resources on tribal land, assist Indian tribes with such development, and coordinate with other Federal agencies. </w:t>
      </w:r>
    </w:p>
    <w:p>
      <w:pPr>
        <w:pStyle w:val="Normal"/>
        <w:autoSpaceDE w:val="false"/>
        <w:rPr>
          <w:sz w:val="22"/>
          <w:szCs w:val="20"/>
        </w:rPr>
      </w:pPr>
      <w:r>
        <w:rPr>
          <w:sz w:val="22"/>
          <w:szCs w:val="20"/>
        </w:rPr>
      </w:r>
    </w:p>
    <w:p>
      <w:pPr>
        <w:pStyle w:val="Heading3"/>
        <w:ind w:hanging="0" w:start="0"/>
        <w:rPr>
          <w:sz w:val="22"/>
        </w:rPr>
      </w:pPr>
      <w:r>
        <w:rPr>
          <w:sz w:val="22"/>
        </w:rPr>
        <w:t>Sec. 106.  Federal transmission corridors</w:t>
      </w:r>
    </w:p>
    <w:p>
      <w:pPr>
        <w:pStyle w:val="Normal"/>
        <w:rPr>
          <w:sz w:val="22"/>
          <w:szCs w:val="20"/>
        </w:rPr>
      </w:pPr>
      <w:r>
        <w:rPr>
          <w:sz w:val="22"/>
          <w:szCs w:val="20"/>
        </w:rPr>
        <w:t>The Secretary is authorized and directed to establish electric power transmission corridors across Federal lands, after conducting a study of the need for transmission expansion and determining that siting of transmission facilities on Federal land is necessary or appropriate.  The Secretary is also authorized to be a party to any proceeding regarding siting on Federal lands.</w:t>
      </w:r>
    </w:p>
    <w:p>
      <w:pPr>
        <w:pStyle w:val="Normal"/>
        <w:autoSpaceDE w:val="false"/>
        <w:rPr>
          <w:sz w:val="22"/>
          <w:szCs w:val="20"/>
        </w:rPr>
      </w:pPr>
      <w:r>
        <w:rPr>
          <w:sz w:val="22"/>
          <w:szCs w:val="20"/>
        </w:rPr>
      </w:r>
    </w:p>
    <w:p>
      <w:pPr>
        <w:pStyle w:val="Heading3"/>
        <w:ind w:hanging="0" w:start="0"/>
        <w:rPr>
          <w:sz w:val="22"/>
        </w:rPr>
      </w:pPr>
      <w:r>
        <w:rPr>
          <w:sz w:val="22"/>
        </w:rPr>
        <w:t>Sec. 107.  Guarantee of payment required for certain emergency power sales</w:t>
      </w:r>
    </w:p>
    <w:p>
      <w:pPr>
        <w:pStyle w:val="Normal"/>
        <w:autoSpaceDE w:val="false"/>
        <w:rPr>
          <w:sz w:val="22"/>
          <w:szCs w:val="20"/>
        </w:rPr>
      </w:pPr>
      <w:r>
        <w:rPr>
          <w:sz w:val="22"/>
          <w:szCs w:val="20"/>
        </w:rPr>
        <w:t>Neither the Secretary of Energy, FERC, Federal officers and agencies, nor courts may issue an order requiring emergency sales of electricity or natural gas unless payment is guaranteed.</w:t>
      </w:r>
    </w:p>
    <w:p>
      <w:pPr>
        <w:pStyle w:val="Normal"/>
        <w:autoSpaceDE w:val="false"/>
        <w:ind w:firstLine="720" w:end="0"/>
        <w:rPr>
          <w:sz w:val="22"/>
          <w:szCs w:val="20"/>
        </w:rPr>
      </w:pPr>
      <w:r>
        <w:rPr>
          <w:sz w:val="22"/>
        </w:rPr>
        <w:tab/>
      </w:r>
    </w:p>
    <w:p>
      <w:pPr>
        <w:pStyle w:val="Heading3"/>
        <w:ind w:hanging="0" w:start="0"/>
        <w:rPr>
          <w:sz w:val="22"/>
        </w:rPr>
      </w:pPr>
      <w:r>
        <w:rPr>
          <w:sz w:val="22"/>
        </w:rPr>
        <w:t>Sec. 108.  Sale of transmission assets to State of California</w:t>
      </w:r>
    </w:p>
    <w:p>
      <w:pPr>
        <w:pStyle w:val="Normal"/>
        <w:rPr>
          <w:sz w:val="22"/>
          <w:szCs w:val="20"/>
        </w:rPr>
      </w:pPr>
      <w:r>
        <w:rPr>
          <w:sz w:val="22"/>
          <w:szCs w:val="20"/>
        </w:rPr>
        <w:t>If the State of California acquires transmission facilities from a “public utility,” the State shall be subject to the same jurisdiction, with respect to those facilities, as would be a public utility. </w:t>
      </w:r>
    </w:p>
    <w:p>
      <w:pPr>
        <w:pStyle w:val="Normal"/>
        <w:autoSpaceDE w:val="false"/>
        <w:rPr>
          <w:sz w:val="22"/>
          <w:szCs w:val="20"/>
        </w:rPr>
      </w:pPr>
      <w:r>
        <w:rPr>
          <w:sz w:val="22"/>
          <w:szCs w:val="20"/>
        </w:rPr>
      </w:r>
    </w:p>
    <w:p>
      <w:pPr>
        <w:pStyle w:val="Heading2"/>
        <w:ind w:hanging="0" w:start="0"/>
        <w:jc w:val="start"/>
        <w:rPr>
          <w:smallCaps/>
          <w:sz w:val="22"/>
        </w:rPr>
      </w:pPr>
      <w:r>
        <w:rPr>
          <w:smallCaps/>
          <w:sz w:val="22"/>
        </w:rPr>
        <w:t>Title II – Federal Assistance Available in Electric Emergencies</w:t>
      </w:r>
    </w:p>
    <w:p>
      <w:pPr>
        <w:pStyle w:val="Normal"/>
        <w:autoSpaceDE w:val="false"/>
        <w:rPr>
          <w:smallCaps/>
          <w:sz w:val="22"/>
          <w:szCs w:val="20"/>
        </w:rPr>
      </w:pPr>
      <w:r>
        <w:rPr>
          <w:smallCaps/>
          <w:sz w:val="22"/>
          <w:szCs w:val="20"/>
        </w:rPr>
      </w:r>
    </w:p>
    <w:p>
      <w:pPr>
        <w:pStyle w:val="Heading4"/>
        <w:ind w:hanging="0" w:start="0"/>
        <w:rPr>
          <w:sz w:val="22"/>
        </w:rPr>
      </w:pPr>
      <w:r>
        <w:rPr>
          <w:sz w:val="22"/>
        </w:rPr>
        <w:t>Sec. 201.  Emergency conservation awareness</w:t>
      </w:r>
    </w:p>
    <w:p>
      <w:pPr>
        <w:pStyle w:val="Normal"/>
        <w:rPr>
          <w:sz w:val="22"/>
          <w:szCs w:val="20"/>
        </w:rPr>
      </w:pPr>
      <w:r>
        <w:rPr>
          <w:sz w:val="22"/>
          <w:szCs w:val="20"/>
        </w:rPr>
        <w:t>The Secretary of Energy is authorized and directed to conduct an energy conservation educational campaign in certain geographic areas addressing the likelihood and consequences of electricity shortages and recommending specific conservation measures to help avert blackouts.</w:t>
      </w:r>
    </w:p>
    <w:p>
      <w:pPr>
        <w:pStyle w:val="Normal"/>
        <w:rPr>
          <w:sz w:val="22"/>
          <w:szCs w:val="20"/>
        </w:rPr>
      </w:pPr>
      <w:r>
        <w:rPr>
          <w:sz w:val="22"/>
          <w:szCs w:val="20"/>
        </w:rPr>
        <w:t> </w:t>
      </w:r>
    </w:p>
    <w:p>
      <w:pPr>
        <w:pStyle w:val="Heading4"/>
        <w:ind w:hanging="0" w:start="0"/>
        <w:rPr>
          <w:sz w:val="22"/>
        </w:rPr>
      </w:pPr>
      <w:r>
        <w:rPr>
          <w:sz w:val="22"/>
        </w:rPr>
        <w:t>Sec. 202.  Preparation for electricity blackouts</w:t>
      </w:r>
    </w:p>
    <w:p>
      <w:pPr>
        <w:pStyle w:val="Normal"/>
        <w:rPr>
          <w:sz w:val="22"/>
          <w:szCs w:val="20"/>
        </w:rPr>
      </w:pPr>
      <w:r>
        <w:rPr>
          <w:sz w:val="22"/>
          <w:szCs w:val="20"/>
        </w:rPr>
        <w:t>The Secretary of Energy, in coordination with the Federal Emergency Management Agency (FEMA), is authorized and directed to initiate emergency planning in States expected to face electricity shortages.</w:t>
      </w:r>
    </w:p>
    <w:p>
      <w:pPr>
        <w:pStyle w:val="Normal"/>
        <w:rPr>
          <w:sz w:val="22"/>
          <w:szCs w:val="20"/>
        </w:rPr>
      </w:pPr>
      <w:r>
        <w:rPr>
          <w:sz w:val="22"/>
          <w:szCs w:val="20"/>
        </w:rPr>
        <w:t> </w:t>
      </w:r>
    </w:p>
    <w:p>
      <w:pPr>
        <w:pStyle w:val="Heading3"/>
        <w:ind w:hanging="0" w:start="0"/>
        <w:rPr>
          <w:sz w:val="22"/>
        </w:rPr>
      </w:pPr>
      <w:r>
        <w:rPr>
          <w:sz w:val="22"/>
        </w:rPr>
        <w:t>Sec. 203.  Conservation at Federal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The Federal government shall apply energy conservation measures to Federal facilities in States in which an electricity emergency has been declared by the Governor.  Each agency would reduce electricity consumption at least 10 percent per gross square foot compared to the same month in the most recent year before the declared emergency.  This section sunsets on October 1, 2003.  </w:t>
      </w:r>
    </w:p>
    <w:p>
      <w:pPr>
        <w:pStyle w:val="Normal"/>
        <w:rPr>
          <w:sz w:val="22"/>
          <w:szCs w:val="20"/>
        </w:rPr>
      </w:pPr>
      <w:r>
        <w:rPr>
          <w:sz w:val="22"/>
          <w:szCs w:val="20"/>
        </w:rPr>
        <w:t> </w:t>
      </w:r>
    </w:p>
    <w:p>
      <w:pPr>
        <w:pStyle w:val="Heading3"/>
        <w:ind w:hanging="0" w:start="0"/>
        <w:rPr>
          <w:sz w:val="22"/>
        </w:rPr>
      </w:pPr>
      <w:r>
        <w:rPr>
          <w:sz w:val="22"/>
        </w:rPr>
        <w:t>Sec. 204.  Daylight savings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These provisions, taken from H.R. 704 (Sherman), allow the States of California, Nevada, Oregon, and Washington to adjust their Standard time upon a finding that doing so will help alleviate an electricity crisis.  This section expires December 31, 2003.</w:t>
      </w:r>
    </w:p>
    <w:p>
      <w:pPr>
        <w:pStyle w:val="Normal"/>
        <w:rPr>
          <w:sz w:val="22"/>
          <w:szCs w:val="20"/>
        </w:rPr>
      </w:pPr>
      <w:r>
        <w:rPr>
          <w:sz w:val="22"/>
          <w:szCs w:val="20"/>
        </w:rPr>
        <w:t> </w:t>
      </w:r>
    </w:p>
    <w:p>
      <w:pPr>
        <w:pStyle w:val="Heading3"/>
        <w:ind w:hanging="0" w:start="0"/>
        <w:rPr>
          <w:sz w:val="22"/>
        </w:rPr>
      </w:pPr>
      <w:r>
        <w:rPr>
          <w:sz w:val="22"/>
        </w:rPr>
        <w:t>Sec. 205.  PURPA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Qualifying facilities (QFs) under the Public Utility Regulatory Policies Act (PURPA) could sell power to third parties when a utility is unable to meet the payment terms of a power purchase agreement.  The QF is required to resume sales under its contract upon the first of: 1) payment in full for all sales, 2) judicial resolution, or 3) a negotiated settlement.</w:t>
      </w:r>
    </w:p>
    <w:p>
      <w:pPr>
        <w:pStyle w:val="Normal"/>
        <w:autoSpaceDE w:val="false"/>
        <w:rPr>
          <w:sz w:val="22"/>
          <w:szCs w:val="20"/>
        </w:rPr>
      </w:pPr>
      <w:r>
        <w:rPr>
          <w:sz w:val="22"/>
          <w:szCs w:val="20"/>
        </w:rPr>
      </w:r>
    </w:p>
    <w:p>
      <w:pPr>
        <w:pStyle w:val="Heading2"/>
        <w:ind w:hanging="0" w:start="0"/>
        <w:jc w:val="start"/>
        <w:rPr>
          <w:smallCaps/>
          <w:sz w:val="22"/>
        </w:rPr>
      </w:pPr>
      <w:r>
        <w:rPr>
          <w:smallCaps/>
          <w:sz w:val="22"/>
        </w:rPr>
        <w:t>Title III – Federal Assistance Available Upon a Governor’s Request</w:t>
      </w:r>
    </w:p>
    <w:p>
      <w:pPr>
        <w:pStyle w:val="Normal"/>
        <w:autoSpaceDE w:val="false"/>
        <w:rPr>
          <w:smallCaps/>
          <w:sz w:val="22"/>
          <w:szCs w:val="20"/>
        </w:rPr>
      </w:pPr>
      <w:r>
        <w:rPr>
          <w:smallCaps/>
          <w:sz w:val="22"/>
          <w:szCs w:val="20"/>
        </w:rPr>
      </w:r>
    </w:p>
    <w:p>
      <w:pPr>
        <w:pStyle w:val="Heading3"/>
        <w:ind w:hanging="0" w:start="0"/>
        <w:rPr>
          <w:sz w:val="22"/>
        </w:rPr>
      </w:pPr>
      <w:r>
        <w:rPr>
          <w:sz w:val="22"/>
        </w:rPr>
        <w:t>Sec. 301.  Hydroelectric power license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 FERC shall allow hydroelectric licensees in States with declared emergencies additional latitude to modify terms and conditions in their licenses to respond to power emergencies, upon request of a State governor.  The latitude shall not last for a period of more than 2 years.</w:t>
      </w:r>
    </w:p>
    <w:p>
      <w:pPr>
        <w:pStyle w:val="Normal"/>
        <w:autoSpaceDE w:val="false"/>
        <w:rPr>
          <w:sz w:val="22"/>
          <w:szCs w:val="20"/>
        </w:rPr>
      </w:pPr>
      <w:r>
        <w:rPr>
          <w:sz w:val="22"/>
          <w:szCs w:val="20"/>
        </w:rPr>
      </w:r>
    </w:p>
    <w:p>
      <w:pPr>
        <w:pStyle w:val="Heading3"/>
        <w:ind w:hanging="0" w:start="0"/>
        <w:rPr>
          <w:sz w:val="22"/>
        </w:rPr>
      </w:pPr>
      <w:r>
        <w:rPr>
          <w:sz w:val="22"/>
        </w:rPr>
        <w:t>Sec. 302.  Federal hydropower generation</w:t>
      </w:r>
    </w:p>
    <w:p>
      <w:pPr>
        <w:pStyle w:val="BodyText"/>
        <w:rPr>
          <w:b w:val="false"/>
          <w:bCs w:val="false"/>
          <w:sz w:val="22"/>
        </w:rPr>
      </w:pPr>
      <w:r>
        <w:rPr>
          <w:b w:val="false"/>
          <w:bCs w:val="false"/>
          <w:sz w:val="22"/>
        </w:rPr>
        <w:t>Section (a) provides that upon the request of the Governors of the States of the Pacific Northwest (Washington, Oregon, Idaho, and Montana), the Administrator of the Bonneville Power Administration (BPA) may authorize maximum electric generation at hydroelectric facilities providing electric power to the BPA.  Section (b) provides that the Bureau of Reclamation may authorize maximum electric generation at specific hydroelectric facilities, upon request of the Governor of the State in which the facility is located.  This section waives the application of other Federal laws, regulations, or court orders that would otherwise apply to generation.</w:t>
      </w:r>
    </w:p>
    <w:p>
      <w:pPr>
        <w:pStyle w:val="Normal"/>
        <w:autoSpaceDE w:val="false"/>
        <w:rPr>
          <w:b/>
          <w:bCs/>
          <w:sz w:val="22"/>
          <w:szCs w:val="20"/>
        </w:rPr>
      </w:pPr>
      <w:r>
        <w:rPr>
          <w:b/>
          <w:bCs/>
          <w:sz w:val="22"/>
          <w:szCs w:val="20"/>
        </w:rPr>
      </w:r>
    </w:p>
    <w:p>
      <w:pPr>
        <w:pStyle w:val="Heading3"/>
        <w:ind w:hanging="0" w:start="0"/>
        <w:rPr>
          <w:sz w:val="22"/>
        </w:rPr>
      </w:pPr>
      <w:r>
        <w:rPr>
          <w:sz w:val="22"/>
        </w:rPr>
        <w:t>Sec. 303.  Nox preconstruction requirements for new generation</w:t>
      </w:r>
    </w:p>
    <w:p>
      <w:pPr>
        <w:pStyle w:val="Normal"/>
        <w:autoSpaceDE w:val="false"/>
        <w:rPr>
          <w:sz w:val="22"/>
          <w:szCs w:val="20"/>
        </w:rPr>
      </w:pPr>
      <w:r>
        <w:rPr>
          <w:sz w:val="22"/>
          <w:szCs w:val="20"/>
        </w:rPr>
        <w:t xml:space="preserve">During an electricity emergency, a Governor may petition EPA for a temporary delay, up to 1 year, of certain NOx emission requirements applicable to the newly constructed power plants that would be coming on line to ease generation shortages.  The State of California in a letter to EPA proposed a similar temporary delay, but has not cited legal authority for such an action.  California officials believe that new peaking units will come on line faster if they do not have to wait for the installation of certain NOx control equipment.  Under this provision, the power plants must comply with all such NOx requirements after the temporary delay expires.  EPA is directed to make a decision on the Governor’s petition within 45 days, but is free to accept or reject the petition on the merits.  </w:t>
      </w:r>
    </w:p>
    <w:p>
      <w:pPr>
        <w:pStyle w:val="Normal"/>
        <w:autoSpaceDE w:val="false"/>
        <w:rPr>
          <w:sz w:val="22"/>
          <w:szCs w:val="20"/>
        </w:rPr>
      </w:pPr>
      <w:r>
        <w:rPr>
          <w:sz w:val="22"/>
          <w:szCs w:val="20"/>
        </w:rPr>
      </w:r>
    </w:p>
    <w:p>
      <w:pPr>
        <w:pStyle w:val="Heading3"/>
        <w:ind w:hanging="0" w:start="0"/>
        <w:rPr>
          <w:sz w:val="22"/>
        </w:rPr>
      </w:pPr>
      <w:r>
        <w:rPr>
          <w:sz w:val="22"/>
        </w:rPr>
        <w:t>Sec. 304.  Federal generation during State emergencies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Upon the request by a Governor who has declared an electricity emergency, the Secretary of Energy may authorize any Federal facility to generate electricity for self-consumption or for sales to the State, so long as reimbursement is assured by the recipient or by a State government.</w:t>
      </w:r>
    </w:p>
    <w:p>
      <w:pPr>
        <w:pStyle w:val="Normal"/>
        <w:autoSpaceDE w:val="false"/>
        <w:rPr>
          <w:sz w:val="22"/>
          <w:szCs w:val="20"/>
        </w:rPr>
      </w:pPr>
      <w:r>
        <w:rPr>
          <w:sz w:val="22"/>
          <w:szCs w:val="20"/>
        </w:rPr>
      </w:r>
    </w:p>
    <w:p>
      <w:pPr>
        <w:pStyle w:val="Heading3"/>
        <w:ind w:hanging="0" w:start="0"/>
        <w:rPr>
          <w:sz w:val="22"/>
        </w:rPr>
      </w:pPr>
      <w:r>
        <w:rPr>
          <w:sz w:val="22"/>
        </w:rPr>
        <w:t>Sec. 305.  Emergency generation</w:t>
      </w:r>
    </w:p>
    <w:p>
      <w:pPr>
        <w:pStyle w:val="BodyTextIndent"/>
        <w:ind w:hanging="0" w:end="0"/>
        <w:jc w:val="start"/>
        <w:rPr/>
      </w:pPr>
      <w:r>
        <w:rPr>
          <w:sz w:val="22"/>
        </w:rPr>
        <w:t xml:space="preserve">This section creates a limited, emergency provision that allows natural gas-fired power plants and on-site generators to exceed certain emissions limitations, while maintaining local air quality standards under the Clean Air Act.  Specifically, in States that may experience an electricity emergency, a Governor may submit a State implementation plan (SIP) amendment to the Administrator of EPA.  This amendment would give the Governor maximum flexibility under the SIP to allow continued electricity generation from natural gas-fired facilities, while obtaining NOx emission offsets from other sources.  A Governor’s requested SIP amendment would allow for a temporary waiver to permit generation on days that are equivalent to Stage III Emergency days </w:t>
      </w:r>
      <w:r>
        <w:rPr>
          <w:sz w:val="22"/>
          <w:u w:val="single"/>
        </w:rPr>
        <w:t>and</w:t>
      </w:r>
      <w:r>
        <w:rPr>
          <w:sz w:val="22"/>
        </w:rPr>
        <w:t xml:space="preserve"> blackouts are imminent (“high emergency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rPr>
      </w:pPr>
      <w:r>
        <w:rPr>
          <w:sz w:val="22"/>
        </w:rPr>
        <w:t>The temporary waiver cannot last longer than six months and EPA may only approve a waiver if the waiver will not increase net emissions of any air pollutant.  This section ensures that clean, natural gas-fired units are fully available for generation on the most critical days, while giving a Governor maximum flexibility to address all SIP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b/>
          <w:bCs/>
          <w:sz w:val="22"/>
        </w:rPr>
      </w:pPr>
      <w:r>
        <w:rPr>
          <w:b/>
          <w:bCs/>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Upon a separate petition by the Governor, this section also allows EPA to permit persons to operate, during high emergency days, generators for their own use that might otherwise exceed emission limitations.  This temporary order cannot last longer than six months.  Under both provisions, persons are not permitted to disconnect or cease using existing pollution controls.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rPr>
      </w:pPr>
      <w:r>
        <w:rPr>
          <w:sz w:val="22"/>
          <w:u w:val="single"/>
        </w:rPr>
        <w:t>Neither waiver request may be approved unless the Administrator determines that the net emissions will not exceed relevant ambient air quality standards.</w:t>
      </w:r>
      <w:r>
        <w:rPr>
          <w:sz w:val="22"/>
        </w:rPr>
        <w:t xml:space="preserve">  Because of the emergency nature of this request, stays or injunctions against the Administrator and/or the State are prohibited, but other legal remedies under the Clean Air Act remain in effect.  The Administrator is directed to expedite review of the amendment request.  </w:t>
      </w:r>
    </w:p>
    <w:p>
      <w:pPr>
        <w:pStyle w:val="Normal"/>
        <w:autoSpaceDE w:val="false"/>
        <w:rPr>
          <w:b/>
          <w:bCs/>
          <w:sz w:val="22"/>
          <w:szCs w:val="20"/>
        </w:rPr>
      </w:pPr>
      <w:r>
        <w:rPr>
          <w:b/>
          <w:bCs/>
          <w:sz w:val="22"/>
          <w:szCs w:val="20"/>
        </w:rPr>
      </w:r>
    </w:p>
    <w:p>
      <w:pPr>
        <w:pStyle w:val="Heading4"/>
        <w:ind w:hanging="0" w:start="0"/>
        <w:rPr>
          <w:sz w:val="22"/>
        </w:rPr>
      </w:pPr>
      <w:r>
        <w:rPr>
          <w:sz w:val="22"/>
        </w:rPr>
        <w:t>[Sec. 306.  Regional transmission organization in western region]</w:t>
      </w:r>
    </w:p>
    <w:p>
      <w:pPr>
        <w:pStyle w:val="Normal"/>
        <w:ind w:end="-720"/>
        <w:rPr/>
      </w:pPr>
      <w:r>
        <w:rPr>
          <w:sz w:val="22"/>
          <w:szCs w:val="20"/>
        </w:rPr>
        <w:t xml:space="preserve">[This section is in brackets pending a final decision on its inclusion.  This requires </w:t>
      </w:r>
      <w:r>
        <w:rPr>
          <w:sz w:val="22"/>
        </w:rPr>
        <w:t>full participation in a Western-wide regional transmission organization (RTO) upon agreement by at least ten of thirteen Governors within the Western Systems Coordinating Council (WSCC).  Federal transmission facilities would be authorized and directed to participate in the subsequent RTO, as would municipally-owned entities and cooperatives owning or operating transmission facilities within the region.  The requirement for participation is sunset 3 years after the RTO is established.]</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widowControl w:val="false"/>
      <w:numPr>
        <w:ilvl w:val="0"/>
        <w:numId w:val="1"/>
      </w:numPr>
      <w:autoSpaceDE w:val="false"/>
      <w:outlineLvl w:val="0"/>
    </w:pPr>
    <w:rPr>
      <w:sz w:val="20"/>
    </w:rPr>
  </w:style>
  <w:style w:type="paragraph" w:styleId="Heading2">
    <w:name w:val="heading 2"/>
    <w:basedOn w:val="Normal"/>
    <w:next w:val="Normal"/>
    <w:qFormat/>
    <w:pPr>
      <w:keepNext w:val="true"/>
      <w:numPr>
        <w:ilvl w:val="1"/>
        <w:numId w:val="1"/>
      </w:numPr>
      <w:autoSpaceDE w:val="false"/>
      <w:jc w:val="center"/>
      <w:outlineLvl w:val="1"/>
    </w:pPr>
    <w:rPr>
      <w:b/>
      <w:bCs/>
      <w:szCs w:val="20"/>
    </w:rPr>
  </w:style>
  <w:style w:type="paragraph" w:styleId="Heading3">
    <w:name w:val="heading 3"/>
    <w:basedOn w:val="Normal"/>
    <w:next w:val="Normal"/>
    <w:qFormat/>
    <w:pPr>
      <w:keepNext w:val="true"/>
      <w:numPr>
        <w:ilvl w:val="2"/>
        <w:numId w:val="1"/>
      </w:numPr>
      <w:autoSpaceDE w:val="false"/>
      <w:outlineLvl w:val="2"/>
    </w:pPr>
    <w:rPr>
      <w:b/>
      <w:bCs/>
      <w:szCs w:val="20"/>
    </w:rPr>
  </w:style>
  <w:style w:type="paragraph" w:styleId="Heading4">
    <w:name w:val="heading 4"/>
    <w:basedOn w:val="Normal"/>
    <w:next w:val="Normal"/>
    <w:qFormat/>
    <w:pPr>
      <w:keepNext w:val="true"/>
      <w:numPr>
        <w:ilvl w:val="3"/>
        <w:numId w:val="1"/>
      </w:numPr>
      <w:outlineLvl w:val="3"/>
    </w:pPr>
    <w:rPr>
      <w:b/>
      <w:bCs/>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autoSpaceDE w:val="false"/>
      <w:jc w:val="center"/>
    </w:pPr>
    <w:rPr>
      <w:sz w:val="28"/>
      <w:szCs w:val="28"/>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verflowPunct w:val="false"/>
      <w:autoSpaceDE w:val="false"/>
      <w:ind w:firstLine="720" w:start="0" w:end="0"/>
      <w:jc w:val="both"/>
      <w:textAlignment w:val="baseline"/>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2001-04-23T21:03:00Z</dcterms:created>
  <dc:creator>Andy Black</dc:creator>
  <dc:description/>
  <dc:language>en-CA</dc:language>
  <cp:lastModifiedBy>Andy Black</cp:lastModifiedBy>
  <cp:lastPrinted>2001-04-23T19:11:00Z</cp:lastPrinted>
  <dcterms:modified xsi:type="dcterms:W3CDTF">2001-04-23T21:09:00Z</dcterms:modified>
  <cp:revision>9</cp:revision>
  <dc:subject/>
  <dc:title>303</dc:title>
</cp:coreProperties>
</file>