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Strategic Overview</w:t>
      </w:r>
    </w:p>
    <w:p>
      <w:pPr>
        <w:pStyle w:val="Heading3"/>
        <w:ind w:hanging="0" w:start="0"/>
        <w:rPr/>
      </w:pPr>
      <w:r>
        <w:rPr/>
        <w:t>Introduction</w:t>
      </w:r>
    </w:p>
    <w:p>
      <w:pPr>
        <w:pStyle w:val="Normal"/>
        <w:rPr/>
      </w:pPr>
      <w:r>
        <w:rPr/>
        <w:t>Enron has built a unique position in the power generation sector in Brazil.  It has successfully developed the first IPP in Brazil and has a portfolio of new power generation projects under development.  These projects represent the platform for the development of a generation business with installed capacity of at least 2,700 MW and include:</w:t>
      </w:r>
    </w:p>
    <w:p>
      <w:pPr>
        <w:pStyle w:val="Bmed1st1"/>
        <w:numPr>
          <w:ilvl w:val="0"/>
          <w:numId w:val="3"/>
        </w:numPr>
        <w:ind w:hanging="0" w:start="0"/>
        <w:rPr/>
      </w:pPr>
      <w:r>
        <w:rPr/>
        <w:t>Projects in operation: Phase 1 of Cuiabá I (150 MW);</w:t>
      </w:r>
    </w:p>
    <w:p>
      <w:pPr>
        <w:pStyle w:val="Bmed1st1"/>
        <w:numPr>
          <w:ilvl w:val="0"/>
          <w:numId w:val="3"/>
        </w:numPr>
        <w:ind w:hanging="0" w:start="0"/>
        <w:rPr/>
      </w:pPr>
      <w:r>
        <w:rPr/>
        <w:t>Projects under development: Phases 2 and 3 of Cuiabá I (330 MW), Cuiabá II (480 MW) and Riogen I (500 MW); and</w:t>
      </w:r>
    </w:p>
    <w:p>
      <w:pPr>
        <w:pStyle w:val="Bmed1st1"/>
        <w:numPr>
          <w:ilvl w:val="0"/>
          <w:numId w:val="3"/>
        </w:numPr>
        <w:ind w:hanging="0" w:start="0"/>
        <w:rPr/>
      </w:pPr>
      <w:r>
        <w:rPr/>
        <w:t>Future expansion projects: Cuiabá III (480 MW), Riogen II (500 MW) and Puerto Suarez (150 MW).</w:t>
      </w:r>
    </w:p>
    <w:p>
      <w:pPr>
        <w:pStyle w:val="Normal"/>
        <w:rPr/>
      </w:pPr>
      <w:r>
        <w:rPr/>
        <w:t>In addition, the ownership of Elektro will enable Enron to enter into long-term contracts for up to 30% of its regulated demand and 100% of its unregulated demand, equivalent to an estimated 1,000 MW.  The Cuiabá Project, in particular, has involved the construction of a gas pipeline as well as the power plant, giving Enron unique insight into and experience of the procedures required to obtain all the necessary permits, approvals and licenses (including environmental) for the Project.</w:t>
      </w:r>
    </w:p>
    <w:p>
      <w:pPr>
        <w:pStyle w:val="Normal"/>
        <w:rPr/>
      </w:pPr>
      <w:r>
        <w:rPr/>
        <w:t xml:space="preserve">As a result of this experience, as well as its ownership interest in gas pipeline capacity (through </w:t>
      </w:r>
      <w:r>
        <w:rPr>
          <w:lang w:val="pt-BR"/>
        </w:rPr>
        <w:t>Transredes</w:t>
      </w:r>
      <w:r>
        <w:rPr/>
        <w:t xml:space="preserve"> and BBPL), distribution marketshare (through Elektro), and privileged access to flexible and low cost Brazilian gas (through CEG/Riogas and the Gaspart LDCs), Enron has established a unique platform for the development of a substantial power generation business in Brazil.</w:t>
      </w:r>
    </w:p>
    <w:p>
      <w:pPr>
        <w:pStyle w:val="BLKmed1st1"/>
        <w:rPr/>
      </w:pPr>
      <w:r>
        <w:rPr/>
        <w:t>This generation business will form part of an integrated wholesale and retail energy business with unique flexibility and optionality as a result of:</w:t>
      </w:r>
    </w:p>
    <w:p>
      <w:pPr>
        <w:pStyle w:val="Bmed1st1"/>
        <w:numPr>
          <w:ilvl w:val="0"/>
          <w:numId w:val="3"/>
        </w:numPr>
        <w:ind w:hanging="0" w:start="0"/>
        <w:rPr/>
      </w:pPr>
      <w:r>
        <w:rPr/>
        <w:t>Access to interruptible sources of gas;</w:t>
      </w:r>
    </w:p>
    <w:p>
      <w:pPr>
        <w:pStyle w:val="Bmed1st1"/>
        <w:numPr>
          <w:ilvl w:val="0"/>
          <w:numId w:val="3"/>
        </w:numPr>
        <w:ind w:hanging="0" w:start="0"/>
        <w:rPr/>
      </w:pPr>
      <w:r>
        <w:rPr/>
        <w:t>Ownership of captive interruptible gas customers;</w:t>
      </w:r>
    </w:p>
    <w:p>
      <w:pPr>
        <w:pStyle w:val="Bmed1st1"/>
        <w:numPr>
          <w:ilvl w:val="0"/>
          <w:numId w:val="3"/>
        </w:numPr>
        <w:ind w:hanging="0" w:start="0"/>
        <w:rPr/>
      </w:pPr>
      <w:r>
        <w:rPr/>
        <w:t>Availability of low cost secondary hydro energy;</w:t>
      </w:r>
    </w:p>
    <w:p>
      <w:pPr>
        <w:pStyle w:val="Bmed1st1"/>
        <w:numPr>
          <w:ilvl w:val="0"/>
          <w:numId w:val="3"/>
        </w:numPr>
        <w:ind w:hanging="0" w:start="0"/>
        <w:rPr/>
      </w:pPr>
      <w:r>
        <w:rPr/>
        <w:t>Ownership of captive electricity demand; and</w:t>
      </w:r>
    </w:p>
    <w:p>
      <w:pPr>
        <w:pStyle w:val="Bmed1st1"/>
        <w:numPr>
          <w:ilvl w:val="0"/>
          <w:numId w:val="3"/>
        </w:numPr>
        <w:ind w:hanging="0" w:start="0"/>
        <w:rPr/>
      </w:pPr>
      <w:r>
        <w:rPr/>
        <w:t>Equity interests in key gas transportation capacity.</w:t>
      </w:r>
    </w:p>
    <w:p>
      <w:pPr>
        <w:pStyle w:val="Heading3"/>
        <w:ind w:hanging="0" w:start="0"/>
        <w:rPr/>
      </w:pPr>
      <w:r>
        <w:rPr/>
        <w:t>Market Overview</w:t>
      </w:r>
    </w:p>
    <w:p>
      <w:pPr>
        <w:pStyle w:val="Heading4"/>
        <w:ind w:hanging="0" w:start="0"/>
        <w:rPr/>
      </w:pPr>
      <w:r>
        <w:rPr/>
        <w:t>Demand</w:t>
      </w:r>
    </w:p>
    <w:p>
      <w:pPr>
        <w:pStyle w:val="Normal"/>
        <w:rPr/>
      </w:pPr>
      <w:r>
        <w:rPr/>
        <w:t>Electricity demand has consistently grown at a higher rate than GDP growth in Brazil.  According to its plan for the period of 1998-2007, Eletrobrás is forecasting that this will continue to be the case and that electricity demand in the interconnected systems of the North/Northeast and South/Southeast/Central-West will grow at an annual rate of 5.0% for the ten-year period of 1998-2007.  By region, Eletrobrás is forecasting the following demand growth rates:</w:t>
      </w:r>
    </w:p>
    <w:tbl>
      <w:tblPr>
        <w:tblW w:w="6332" w:type="dxa"/>
        <w:jc w:val="center"/>
        <w:tblInd w:w="0" w:type="dxa"/>
        <w:tblLayout w:type="fixed"/>
        <w:tblCellMar>
          <w:top w:w="0" w:type="dxa"/>
          <w:start w:w="108" w:type="dxa"/>
          <w:bottom w:w="0" w:type="dxa"/>
          <w:end w:w="108" w:type="dxa"/>
        </w:tblCellMar>
      </w:tblPr>
      <w:tblGrid>
        <w:gridCol w:w="1274"/>
        <w:gridCol w:w="720"/>
        <w:gridCol w:w="966"/>
        <w:gridCol w:w="1014"/>
        <w:gridCol w:w="786"/>
        <w:gridCol w:w="834"/>
        <w:gridCol w:w="738"/>
      </w:tblGrid>
      <w:tr>
        <w:trPr>
          <w:tblHeader w:val="true"/>
        </w:trPr>
        <w:tc>
          <w:tcPr>
            <w:tcW w:w="1274"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Year</w:t>
            </w:r>
          </w:p>
        </w:tc>
        <w:tc>
          <w:tcPr>
            <w:tcW w:w="72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North</w:t>
            </w:r>
          </w:p>
        </w:tc>
        <w:tc>
          <w:tcPr>
            <w:tcW w:w="966"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Northeast</w:t>
            </w:r>
          </w:p>
        </w:tc>
        <w:tc>
          <w:tcPr>
            <w:tcW w:w="1014"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Southeast</w:t>
            </w:r>
          </w:p>
        </w:tc>
        <w:tc>
          <w:tcPr>
            <w:tcW w:w="786"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South</w:t>
            </w:r>
          </w:p>
        </w:tc>
        <w:tc>
          <w:tcPr>
            <w:tcW w:w="834"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Midwest</w:t>
            </w:r>
          </w:p>
        </w:tc>
        <w:tc>
          <w:tcPr>
            <w:tcW w:w="738"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Brazil</w:t>
            </w:r>
          </w:p>
        </w:tc>
      </w:tr>
      <w:tr>
        <w:trPr>
          <w:tblHeader w:val="true"/>
        </w:trPr>
        <w:tc>
          <w:tcPr>
            <w:tcW w:w="1274" w:type="dxa"/>
            <w:tcBorders>
              <w:start w:val="single" w:sz="6" w:space="0" w:color="000000"/>
            </w:tcBorders>
          </w:tcPr>
          <w:p>
            <w:pPr>
              <w:pStyle w:val="TableHeadSpace"/>
              <w:snapToGrid w:val="false"/>
              <w:rPr>
                <w:rStyle w:val="hidden"/>
                <w:sz w:val="18"/>
              </w:rPr>
            </w:pPr>
            <w:r>
              <w:rPr>
                <w:sz w:val="18"/>
              </w:rPr>
            </w:r>
          </w:p>
        </w:tc>
        <w:tc>
          <w:tcPr>
            <w:tcW w:w="720" w:type="dxa"/>
            <w:tcBorders/>
          </w:tcPr>
          <w:p>
            <w:pPr>
              <w:pStyle w:val="TableHeadSpace"/>
              <w:snapToGrid w:val="false"/>
              <w:rPr>
                <w:rStyle w:val="hidden"/>
                <w:sz w:val="18"/>
              </w:rPr>
            </w:pPr>
            <w:r>
              <w:rPr/>
            </w:r>
          </w:p>
        </w:tc>
        <w:tc>
          <w:tcPr>
            <w:tcW w:w="966" w:type="dxa"/>
            <w:tcBorders/>
          </w:tcPr>
          <w:p>
            <w:pPr>
              <w:pStyle w:val="TableHeadSpace"/>
              <w:snapToGrid w:val="false"/>
              <w:rPr>
                <w:rStyle w:val="hidden"/>
                <w:sz w:val="18"/>
              </w:rPr>
            </w:pPr>
            <w:r>
              <w:rPr/>
            </w:r>
          </w:p>
        </w:tc>
        <w:tc>
          <w:tcPr>
            <w:tcW w:w="1014" w:type="dxa"/>
            <w:tcBorders/>
          </w:tcPr>
          <w:p>
            <w:pPr>
              <w:pStyle w:val="TableHeadSpace"/>
              <w:snapToGrid w:val="false"/>
              <w:rPr>
                <w:sz w:val="18"/>
              </w:rPr>
            </w:pPr>
            <w:r>
              <w:rPr>
                <w:sz w:val="18"/>
              </w:rPr>
            </w:r>
          </w:p>
        </w:tc>
        <w:tc>
          <w:tcPr>
            <w:tcW w:w="786" w:type="dxa"/>
            <w:tcBorders/>
          </w:tcPr>
          <w:p>
            <w:pPr>
              <w:pStyle w:val="TableHeadSpace"/>
              <w:snapToGrid w:val="false"/>
              <w:rPr>
                <w:sz w:val="18"/>
              </w:rPr>
            </w:pPr>
            <w:r>
              <w:rPr>
                <w:sz w:val="18"/>
              </w:rPr>
            </w:r>
          </w:p>
        </w:tc>
        <w:tc>
          <w:tcPr>
            <w:tcW w:w="834" w:type="dxa"/>
            <w:tcBorders/>
          </w:tcPr>
          <w:p>
            <w:pPr>
              <w:pStyle w:val="TableHeadSpace"/>
              <w:snapToGrid w:val="false"/>
              <w:rPr>
                <w:sz w:val="18"/>
              </w:rPr>
            </w:pPr>
            <w:r>
              <w:rPr>
                <w:sz w:val="18"/>
              </w:rPr>
            </w:r>
          </w:p>
        </w:tc>
        <w:tc>
          <w:tcPr>
            <w:tcW w:w="738" w:type="dxa"/>
            <w:tcBorders>
              <w:end w:val="single" w:sz="6" w:space="0" w:color="000000"/>
            </w:tcBorders>
          </w:tcPr>
          <w:p>
            <w:pPr>
              <w:pStyle w:val="TableHeadSpace"/>
              <w:snapToGrid w:val="false"/>
              <w:rPr>
                <w:sz w:val="18"/>
              </w:rPr>
            </w:pPr>
            <w:r>
              <w:rPr>
                <w:sz w:val="18"/>
              </w:rPr>
            </w:r>
          </w:p>
        </w:tc>
      </w:tr>
      <w:tr>
        <w:trPr/>
        <w:tc>
          <w:tcPr>
            <w:tcW w:w="1274" w:type="dxa"/>
            <w:tcBorders>
              <w:start w:val="single" w:sz="6" w:space="0" w:color="000000"/>
            </w:tcBorders>
          </w:tcPr>
          <w:p>
            <w:pPr>
              <w:pStyle w:val="TableBody"/>
              <w:rPr>
                <w:sz w:val="18"/>
              </w:rPr>
            </w:pPr>
            <w:r>
              <w:rPr>
                <w:sz w:val="18"/>
              </w:rPr>
              <w:t>1997</w:t>
            </w:r>
          </w:p>
        </w:tc>
        <w:tc>
          <w:tcPr>
            <w:tcW w:w="720" w:type="dxa"/>
            <w:tcBorders/>
          </w:tcPr>
          <w:p>
            <w:pPr>
              <w:pStyle w:val="TableBody"/>
              <w:tabs>
                <w:tab w:val="clear" w:pos="720"/>
                <w:tab w:val="decimal" w:pos="342" w:leader="none"/>
              </w:tabs>
              <w:rPr>
                <w:sz w:val="18"/>
              </w:rPr>
            </w:pPr>
            <w:r>
              <w:rPr>
                <w:sz w:val="18"/>
              </w:rPr>
              <w:t>14.3</w:t>
            </w:r>
          </w:p>
        </w:tc>
        <w:tc>
          <w:tcPr>
            <w:tcW w:w="966" w:type="dxa"/>
            <w:tcBorders/>
          </w:tcPr>
          <w:p>
            <w:pPr>
              <w:pStyle w:val="TableBody"/>
              <w:tabs>
                <w:tab w:val="clear" w:pos="720"/>
                <w:tab w:val="decimal" w:pos="342" w:leader="none"/>
              </w:tabs>
              <w:rPr>
                <w:sz w:val="18"/>
              </w:rPr>
            </w:pPr>
            <w:r>
              <w:rPr>
                <w:sz w:val="18"/>
              </w:rPr>
              <w:t>43.3</w:t>
            </w:r>
          </w:p>
        </w:tc>
        <w:tc>
          <w:tcPr>
            <w:tcW w:w="1014" w:type="dxa"/>
            <w:tcBorders/>
          </w:tcPr>
          <w:p>
            <w:pPr>
              <w:pStyle w:val="TableBody"/>
              <w:tabs>
                <w:tab w:val="clear" w:pos="720"/>
                <w:tab w:val="decimal" w:pos="342" w:leader="none"/>
              </w:tabs>
              <w:rPr>
                <w:sz w:val="18"/>
              </w:rPr>
            </w:pPr>
            <w:r>
              <w:rPr>
                <w:sz w:val="18"/>
              </w:rPr>
              <w:t>159.2</w:t>
            </w:r>
          </w:p>
        </w:tc>
        <w:tc>
          <w:tcPr>
            <w:tcW w:w="786" w:type="dxa"/>
            <w:tcBorders/>
          </w:tcPr>
          <w:p>
            <w:pPr>
              <w:pStyle w:val="TableBody"/>
              <w:tabs>
                <w:tab w:val="clear" w:pos="720"/>
                <w:tab w:val="decimal" w:pos="342" w:leader="none"/>
              </w:tabs>
              <w:rPr>
                <w:sz w:val="18"/>
              </w:rPr>
            </w:pPr>
            <w:r>
              <w:rPr>
                <w:sz w:val="18"/>
              </w:rPr>
              <w:t>41.8</w:t>
            </w:r>
          </w:p>
        </w:tc>
        <w:tc>
          <w:tcPr>
            <w:tcW w:w="834" w:type="dxa"/>
            <w:tcBorders/>
          </w:tcPr>
          <w:p>
            <w:pPr>
              <w:pStyle w:val="TableBody"/>
              <w:tabs>
                <w:tab w:val="clear" w:pos="720"/>
                <w:tab w:val="decimal" w:pos="342" w:leader="none"/>
              </w:tabs>
              <w:rPr>
                <w:sz w:val="18"/>
              </w:rPr>
            </w:pPr>
            <w:r>
              <w:rPr>
                <w:sz w:val="18"/>
              </w:rPr>
              <w:t>13.7</w:t>
            </w:r>
          </w:p>
        </w:tc>
        <w:tc>
          <w:tcPr>
            <w:tcW w:w="738" w:type="dxa"/>
            <w:tcBorders>
              <w:end w:val="single" w:sz="6" w:space="0" w:color="000000"/>
            </w:tcBorders>
          </w:tcPr>
          <w:p>
            <w:pPr>
              <w:pStyle w:val="TableBody"/>
              <w:tabs>
                <w:tab w:val="clear" w:pos="720"/>
                <w:tab w:val="decimal" w:pos="384" w:leader="none"/>
              </w:tabs>
              <w:rPr>
                <w:sz w:val="18"/>
              </w:rPr>
            </w:pPr>
            <w:r>
              <w:rPr>
                <w:sz w:val="18"/>
              </w:rPr>
              <w:t>272.3</w:t>
            </w:r>
          </w:p>
        </w:tc>
      </w:tr>
      <w:tr>
        <w:trPr/>
        <w:tc>
          <w:tcPr>
            <w:tcW w:w="1274" w:type="dxa"/>
            <w:tcBorders>
              <w:start w:val="single" w:sz="6" w:space="0" w:color="000000"/>
            </w:tcBorders>
          </w:tcPr>
          <w:p>
            <w:pPr>
              <w:pStyle w:val="TableBody"/>
              <w:rPr>
                <w:sz w:val="18"/>
              </w:rPr>
            </w:pPr>
            <w:r>
              <w:rPr>
                <w:sz w:val="18"/>
              </w:rPr>
              <w:t>1998</w:t>
            </w:r>
          </w:p>
        </w:tc>
        <w:tc>
          <w:tcPr>
            <w:tcW w:w="720" w:type="dxa"/>
            <w:tcBorders/>
          </w:tcPr>
          <w:p>
            <w:pPr>
              <w:pStyle w:val="TableBody"/>
              <w:tabs>
                <w:tab w:val="clear" w:pos="720"/>
                <w:tab w:val="decimal" w:pos="342" w:leader="none"/>
              </w:tabs>
              <w:rPr>
                <w:sz w:val="18"/>
              </w:rPr>
            </w:pPr>
            <w:r>
              <w:rPr>
                <w:sz w:val="18"/>
              </w:rPr>
              <w:t>15.6</w:t>
            </w:r>
          </w:p>
        </w:tc>
        <w:tc>
          <w:tcPr>
            <w:tcW w:w="966" w:type="dxa"/>
            <w:tcBorders/>
          </w:tcPr>
          <w:p>
            <w:pPr>
              <w:pStyle w:val="TableBody"/>
              <w:tabs>
                <w:tab w:val="clear" w:pos="720"/>
                <w:tab w:val="decimal" w:pos="342" w:leader="none"/>
              </w:tabs>
              <w:rPr>
                <w:sz w:val="18"/>
              </w:rPr>
            </w:pPr>
            <w:r>
              <w:rPr>
                <w:sz w:val="18"/>
              </w:rPr>
              <w:t>46.0</w:t>
            </w:r>
          </w:p>
        </w:tc>
        <w:tc>
          <w:tcPr>
            <w:tcW w:w="1014" w:type="dxa"/>
            <w:tcBorders/>
          </w:tcPr>
          <w:p>
            <w:pPr>
              <w:pStyle w:val="TableBody"/>
              <w:tabs>
                <w:tab w:val="clear" w:pos="720"/>
                <w:tab w:val="decimal" w:pos="342" w:leader="none"/>
              </w:tabs>
              <w:rPr>
                <w:sz w:val="18"/>
              </w:rPr>
            </w:pPr>
            <w:r>
              <w:rPr>
                <w:sz w:val="18"/>
              </w:rPr>
              <w:t>168.0</w:t>
            </w:r>
          </w:p>
        </w:tc>
        <w:tc>
          <w:tcPr>
            <w:tcW w:w="786" w:type="dxa"/>
            <w:tcBorders/>
          </w:tcPr>
          <w:p>
            <w:pPr>
              <w:pStyle w:val="TableBody"/>
              <w:tabs>
                <w:tab w:val="clear" w:pos="720"/>
                <w:tab w:val="decimal" w:pos="342" w:leader="none"/>
              </w:tabs>
              <w:rPr>
                <w:sz w:val="18"/>
              </w:rPr>
            </w:pPr>
            <w:r>
              <w:rPr>
                <w:sz w:val="18"/>
              </w:rPr>
              <w:t>44.8</w:t>
            </w:r>
          </w:p>
        </w:tc>
        <w:tc>
          <w:tcPr>
            <w:tcW w:w="834" w:type="dxa"/>
            <w:tcBorders/>
          </w:tcPr>
          <w:p>
            <w:pPr>
              <w:pStyle w:val="TableBody"/>
              <w:tabs>
                <w:tab w:val="clear" w:pos="720"/>
                <w:tab w:val="decimal" w:pos="342" w:leader="none"/>
              </w:tabs>
              <w:rPr>
                <w:sz w:val="18"/>
              </w:rPr>
            </w:pPr>
            <w:r>
              <w:rPr>
                <w:sz w:val="18"/>
              </w:rPr>
              <w:t>14.9</w:t>
            </w:r>
          </w:p>
        </w:tc>
        <w:tc>
          <w:tcPr>
            <w:tcW w:w="738" w:type="dxa"/>
            <w:tcBorders>
              <w:end w:val="single" w:sz="6" w:space="0" w:color="000000"/>
            </w:tcBorders>
          </w:tcPr>
          <w:p>
            <w:pPr>
              <w:pStyle w:val="TableBody"/>
              <w:tabs>
                <w:tab w:val="clear" w:pos="720"/>
                <w:tab w:val="decimal" w:pos="384" w:leader="none"/>
              </w:tabs>
              <w:rPr>
                <w:sz w:val="18"/>
              </w:rPr>
            </w:pPr>
            <w:r>
              <w:rPr>
                <w:sz w:val="18"/>
              </w:rPr>
              <w:t>289.3</w:t>
            </w:r>
          </w:p>
        </w:tc>
      </w:tr>
      <w:tr>
        <w:trPr/>
        <w:tc>
          <w:tcPr>
            <w:tcW w:w="1274" w:type="dxa"/>
            <w:tcBorders>
              <w:start w:val="single" w:sz="6" w:space="0" w:color="000000"/>
            </w:tcBorders>
          </w:tcPr>
          <w:p>
            <w:pPr>
              <w:pStyle w:val="TableBody"/>
              <w:rPr>
                <w:sz w:val="18"/>
              </w:rPr>
            </w:pPr>
            <w:r>
              <w:rPr>
                <w:sz w:val="18"/>
              </w:rPr>
              <w:t>1999</w:t>
            </w:r>
          </w:p>
        </w:tc>
        <w:tc>
          <w:tcPr>
            <w:tcW w:w="720" w:type="dxa"/>
            <w:tcBorders/>
          </w:tcPr>
          <w:p>
            <w:pPr>
              <w:pStyle w:val="TableBody"/>
              <w:tabs>
                <w:tab w:val="clear" w:pos="720"/>
                <w:tab w:val="decimal" w:pos="342" w:leader="none"/>
              </w:tabs>
              <w:rPr>
                <w:sz w:val="18"/>
              </w:rPr>
            </w:pPr>
            <w:r>
              <w:rPr>
                <w:sz w:val="18"/>
              </w:rPr>
              <w:t>16.8</w:t>
            </w:r>
          </w:p>
        </w:tc>
        <w:tc>
          <w:tcPr>
            <w:tcW w:w="966" w:type="dxa"/>
            <w:tcBorders/>
          </w:tcPr>
          <w:p>
            <w:pPr>
              <w:pStyle w:val="TableBody"/>
              <w:tabs>
                <w:tab w:val="clear" w:pos="720"/>
                <w:tab w:val="decimal" w:pos="342" w:leader="none"/>
              </w:tabs>
              <w:rPr>
                <w:sz w:val="18"/>
              </w:rPr>
            </w:pPr>
            <w:r>
              <w:rPr>
                <w:sz w:val="18"/>
              </w:rPr>
              <w:t>49.6</w:t>
            </w:r>
          </w:p>
        </w:tc>
        <w:tc>
          <w:tcPr>
            <w:tcW w:w="1014" w:type="dxa"/>
            <w:tcBorders/>
          </w:tcPr>
          <w:p>
            <w:pPr>
              <w:pStyle w:val="TableBody"/>
              <w:tabs>
                <w:tab w:val="clear" w:pos="720"/>
                <w:tab w:val="decimal" w:pos="342" w:leader="none"/>
              </w:tabs>
              <w:rPr>
                <w:sz w:val="18"/>
              </w:rPr>
            </w:pPr>
            <w:r>
              <w:rPr>
                <w:sz w:val="18"/>
              </w:rPr>
              <w:t>176.1</w:t>
            </w:r>
          </w:p>
        </w:tc>
        <w:tc>
          <w:tcPr>
            <w:tcW w:w="786" w:type="dxa"/>
            <w:tcBorders/>
          </w:tcPr>
          <w:p>
            <w:pPr>
              <w:pStyle w:val="TableBody"/>
              <w:tabs>
                <w:tab w:val="clear" w:pos="720"/>
                <w:tab w:val="decimal" w:pos="342" w:leader="none"/>
              </w:tabs>
              <w:rPr>
                <w:sz w:val="18"/>
              </w:rPr>
            </w:pPr>
            <w:r>
              <w:rPr>
                <w:sz w:val="18"/>
              </w:rPr>
              <w:t>47.5</w:t>
            </w:r>
          </w:p>
        </w:tc>
        <w:tc>
          <w:tcPr>
            <w:tcW w:w="834" w:type="dxa"/>
            <w:tcBorders/>
          </w:tcPr>
          <w:p>
            <w:pPr>
              <w:pStyle w:val="TableBody"/>
              <w:tabs>
                <w:tab w:val="clear" w:pos="720"/>
                <w:tab w:val="decimal" w:pos="342" w:leader="none"/>
              </w:tabs>
              <w:rPr>
                <w:sz w:val="18"/>
              </w:rPr>
            </w:pPr>
            <w:r>
              <w:rPr>
                <w:sz w:val="18"/>
              </w:rPr>
              <w:t>16.2</w:t>
            </w:r>
          </w:p>
        </w:tc>
        <w:tc>
          <w:tcPr>
            <w:tcW w:w="738" w:type="dxa"/>
            <w:tcBorders>
              <w:end w:val="single" w:sz="6" w:space="0" w:color="000000"/>
            </w:tcBorders>
          </w:tcPr>
          <w:p>
            <w:pPr>
              <w:pStyle w:val="TableBody"/>
              <w:tabs>
                <w:tab w:val="clear" w:pos="720"/>
                <w:tab w:val="decimal" w:pos="384" w:leader="none"/>
              </w:tabs>
              <w:rPr>
                <w:sz w:val="18"/>
              </w:rPr>
            </w:pPr>
            <w:r>
              <w:rPr>
                <w:sz w:val="18"/>
              </w:rPr>
              <w:t>306.2</w:t>
            </w:r>
          </w:p>
        </w:tc>
      </w:tr>
      <w:tr>
        <w:trPr/>
        <w:tc>
          <w:tcPr>
            <w:tcW w:w="1274" w:type="dxa"/>
            <w:tcBorders>
              <w:start w:val="single" w:sz="6" w:space="0" w:color="000000"/>
            </w:tcBorders>
          </w:tcPr>
          <w:p>
            <w:pPr>
              <w:pStyle w:val="TableBody"/>
              <w:rPr>
                <w:sz w:val="18"/>
              </w:rPr>
            </w:pPr>
            <w:r>
              <w:rPr>
                <w:sz w:val="18"/>
              </w:rPr>
              <w:t>2000</w:t>
            </w:r>
          </w:p>
        </w:tc>
        <w:tc>
          <w:tcPr>
            <w:tcW w:w="720" w:type="dxa"/>
            <w:tcBorders/>
          </w:tcPr>
          <w:p>
            <w:pPr>
              <w:pStyle w:val="TableBody"/>
              <w:tabs>
                <w:tab w:val="clear" w:pos="720"/>
                <w:tab w:val="decimal" w:pos="342" w:leader="none"/>
              </w:tabs>
              <w:rPr>
                <w:sz w:val="18"/>
              </w:rPr>
            </w:pPr>
            <w:r>
              <w:rPr>
                <w:sz w:val="18"/>
              </w:rPr>
              <w:t>18.3</w:t>
            </w:r>
          </w:p>
        </w:tc>
        <w:tc>
          <w:tcPr>
            <w:tcW w:w="966" w:type="dxa"/>
            <w:tcBorders/>
          </w:tcPr>
          <w:p>
            <w:pPr>
              <w:pStyle w:val="TableBody"/>
              <w:tabs>
                <w:tab w:val="clear" w:pos="720"/>
                <w:tab w:val="decimal" w:pos="342" w:leader="none"/>
              </w:tabs>
              <w:rPr>
                <w:sz w:val="18"/>
              </w:rPr>
            </w:pPr>
            <w:r>
              <w:rPr>
                <w:sz w:val="18"/>
              </w:rPr>
              <w:t>53.3</w:t>
            </w:r>
          </w:p>
        </w:tc>
        <w:tc>
          <w:tcPr>
            <w:tcW w:w="1014" w:type="dxa"/>
            <w:tcBorders/>
          </w:tcPr>
          <w:p>
            <w:pPr>
              <w:pStyle w:val="TableBody"/>
              <w:tabs>
                <w:tab w:val="clear" w:pos="720"/>
                <w:tab w:val="decimal" w:pos="342" w:leader="none"/>
              </w:tabs>
              <w:rPr>
                <w:sz w:val="18"/>
              </w:rPr>
            </w:pPr>
            <w:r>
              <w:rPr>
                <w:sz w:val="18"/>
              </w:rPr>
              <w:t>182.4</w:t>
            </w:r>
          </w:p>
        </w:tc>
        <w:tc>
          <w:tcPr>
            <w:tcW w:w="786" w:type="dxa"/>
            <w:tcBorders/>
          </w:tcPr>
          <w:p>
            <w:pPr>
              <w:pStyle w:val="TableBody"/>
              <w:tabs>
                <w:tab w:val="clear" w:pos="720"/>
                <w:tab w:val="decimal" w:pos="342" w:leader="none"/>
              </w:tabs>
              <w:rPr>
                <w:sz w:val="18"/>
              </w:rPr>
            </w:pPr>
            <w:r>
              <w:rPr>
                <w:sz w:val="18"/>
              </w:rPr>
              <w:t>50.5</w:t>
            </w:r>
          </w:p>
        </w:tc>
        <w:tc>
          <w:tcPr>
            <w:tcW w:w="834" w:type="dxa"/>
            <w:tcBorders/>
          </w:tcPr>
          <w:p>
            <w:pPr>
              <w:pStyle w:val="TableBody"/>
              <w:tabs>
                <w:tab w:val="clear" w:pos="720"/>
                <w:tab w:val="decimal" w:pos="342" w:leader="none"/>
              </w:tabs>
              <w:rPr>
                <w:sz w:val="18"/>
              </w:rPr>
            </w:pPr>
            <w:r>
              <w:rPr>
                <w:sz w:val="18"/>
              </w:rPr>
              <w:t>17.3</w:t>
            </w:r>
          </w:p>
        </w:tc>
        <w:tc>
          <w:tcPr>
            <w:tcW w:w="738" w:type="dxa"/>
            <w:tcBorders>
              <w:end w:val="single" w:sz="6" w:space="0" w:color="000000"/>
            </w:tcBorders>
          </w:tcPr>
          <w:p>
            <w:pPr>
              <w:pStyle w:val="TableBody"/>
              <w:tabs>
                <w:tab w:val="clear" w:pos="720"/>
                <w:tab w:val="decimal" w:pos="384" w:leader="none"/>
              </w:tabs>
              <w:rPr>
                <w:sz w:val="18"/>
              </w:rPr>
            </w:pPr>
            <w:r>
              <w:rPr>
                <w:sz w:val="18"/>
              </w:rPr>
              <w:t>321.8</w:t>
            </w:r>
          </w:p>
        </w:tc>
      </w:tr>
      <w:tr>
        <w:trPr/>
        <w:tc>
          <w:tcPr>
            <w:tcW w:w="1274" w:type="dxa"/>
            <w:tcBorders>
              <w:start w:val="single" w:sz="6" w:space="0" w:color="000000"/>
            </w:tcBorders>
          </w:tcPr>
          <w:p>
            <w:pPr>
              <w:pStyle w:val="TableBody"/>
              <w:rPr>
                <w:sz w:val="18"/>
              </w:rPr>
            </w:pPr>
            <w:r>
              <w:rPr>
                <w:sz w:val="18"/>
              </w:rPr>
              <w:t>2001</w:t>
            </w:r>
          </w:p>
        </w:tc>
        <w:tc>
          <w:tcPr>
            <w:tcW w:w="720" w:type="dxa"/>
            <w:tcBorders/>
          </w:tcPr>
          <w:p>
            <w:pPr>
              <w:pStyle w:val="TableBody"/>
              <w:tabs>
                <w:tab w:val="clear" w:pos="720"/>
                <w:tab w:val="decimal" w:pos="342" w:leader="none"/>
              </w:tabs>
              <w:rPr>
                <w:sz w:val="18"/>
              </w:rPr>
            </w:pPr>
            <w:r>
              <w:rPr>
                <w:sz w:val="18"/>
              </w:rPr>
              <w:t>19.6</w:t>
            </w:r>
          </w:p>
        </w:tc>
        <w:tc>
          <w:tcPr>
            <w:tcW w:w="966" w:type="dxa"/>
            <w:tcBorders/>
          </w:tcPr>
          <w:p>
            <w:pPr>
              <w:pStyle w:val="TableBody"/>
              <w:tabs>
                <w:tab w:val="clear" w:pos="720"/>
                <w:tab w:val="decimal" w:pos="342" w:leader="none"/>
              </w:tabs>
              <w:rPr>
                <w:sz w:val="18"/>
              </w:rPr>
            </w:pPr>
            <w:r>
              <w:rPr>
                <w:sz w:val="18"/>
              </w:rPr>
              <w:t>56.2</w:t>
            </w:r>
          </w:p>
        </w:tc>
        <w:tc>
          <w:tcPr>
            <w:tcW w:w="1014" w:type="dxa"/>
            <w:tcBorders/>
          </w:tcPr>
          <w:p>
            <w:pPr>
              <w:pStyle w:val="TableBody"/>
              <w:tabs>
                <w:tab w:val="clear" w:pos="720"/>
                <w:tab w:val="decimal" w:pos="342" w:leader="none"/>
              </w:tabs>
              <w:rPr>
                <w:sz w:val="18"/>
              </w:rPr>
            </w:pPr>
            <w:r>
              <w:rPr>
                <w:sz w:val="18"/>
              </w:rPr>
              <w:t>187.8</w:t>
            </w:r>
          </w:p>
        </w:tc>
        <w:tc>
          <w:tcPr>
            <w:tcW w:w="786" w:type="dxa"/>
            <w:tcBorders/>
          </w:tcPr>
          <w:p>
            <w:pPr>
              <w:pStyle w:val="TableBody"/>
              <w:tabs>
                <w:tab w:val="clear" w:pos="720"/>
                <w:tab w:val="decimal" w:pos="342" w:leader="none"/>
              </w:tabs>
              <w:rPr>
                <w:sz w:val="18"/>
              </w:rPr>
            </w:pPr>
            <w:r>
              <w:rPr>
                <w:sz w:val="18"/>
              </w:rPr>
              <w:t>53.4</w:t>
            </w:r>
          </w:p>
        </w:tc>
        <w:tc>
          <w:tcPr>
            <w:tcW w:w="834" w:type="dxa"/>
            <w:tcBorders/>
          </w:tcPr>
          <w:p>
            <w:pPr>
              <w:pStyle w:val="TableBody"/>
              <w:tabs>
                <w:tab w:val="clear" w:pos="720"/>
                <w:tab w:val="decimal" w:pos="342" w:leader="none"/>
              </w:tabs>
              <w:rPr>
                <w:sz w:val="18"/>
              </w:rPr>
            </w:pPr>
            <w:r>
              <w:rPr>
                <w:sz w:val="18"/>
              </w:rPr>
              <w:t>19.2</w:t>
            </w:r>
          </w:p>
        </w:tc>
        <w:tc>
          <w:tcPr>
            <w:tcW w:w="738" w:type="dxa"/>
            <w:tcBorders>
              <w:end w:val="single" w:sz="6" w:space="0" w:color="000000"/>
            </w:tcBorders>
          </w:tcPr>
          <w:p>
            <w:pPr>
              <w:pStyle w:val="TableBody"/>
              <w:tabs>
                <w:tab w:val="clear" w:pos="720"/>
                <w:tab w:val="decimal" w:pos="384" w:leader="none"/>
              </w:tabs>
              <w:rPr>
                <w:sz w:val="18"/>
              </w:rPr>
            </w:pPr>
            <w:r>
              <w:rPr>
                <w:sz w:val="18"/>
              </w:rPr>
              <w:t>336.2</w:t>
            </w:r>
          </w:p>
        </w:tc>
      </w:tr>
      <w:tr>
        <w:trPr/>
        <w:tc>
          <w:tcPr>
            <w:tcW w:w="1274" w:type="dxa"/>
            <w:tcBorders>
              <w:start w:val="single" w:sz="6" w:space="0" w:color="000000"/>
            </w:tcBorders>
          </w:tcPr>
          <w:p>
            <w:pPr>
              <w:pStyle w:val="TableBody"/>
              <w:rPr>
                <w:sz w:val="18"/>
              </w:rPr>
            </w:pPr>
            <w:r>
              <w:rPr>
                <w:sz w:val="18"/>
              </w:rPr>
              <w:t>2002</w:t>
            </w:r>
          </w:p>
        </w:tc>
        <w:tc>
          <w:tcPr>
            <w:tcW w:w="720" w:type="dxa"/>
            <w:tcBorders/>
          </w:tcPr>
          <w:p>
            <w:pPr>
              <w:pStyle w:val="TableBody"/>
              <w:tabs>
                <w:tab w:val="clear" w:pos="720"/>
                <w:tab w:val="decimal" w:pos="342" w:leader="none"/>
              </w:tabs>
              <w:rPr>
                <w:sz w:val="18"/>
              </w:rPr>
            </w:pPr>
            <w:r>
              <w:rPr>
                <w:sz w:val="18"/>
              </w:rPr>
              <w:t>22.1</w:t>
            </w:r>
          </w:p>
        </w:tc>
        <w:tc>
          <w:tcPr>
            <w:tcW w:w="966" w:type="dxa"/>
            <w:tcBorders/>
          </w:tcPr>
          <w:p>
            <w:pPr>
              <w:pStyle w:val="TableBody"/>
              <w:tabs>
                <w:tab w:val="clear" w:pos="720"/>
                <w:tab w:val="decimal" w:pos="342" w:leader="none"/>
              </w:tabs>
              <w:rPr>
                <w:sz w:val="18"/>
              </w:rPr>
            </w:pPr>
            <w:r>
              <w:rPr>
                <w:sz w:val="18"/>
              </w:rPr>
              <w:t>59.7</w:t>
            </w:r>
          </w:p>
        </w:tc>
        <w:tc>
          <w:tcPr>
            <w:tcW w:w="1014" w:type="dxa"/>
            <w:tcBorders/>
          </w:tcPr>
          <w:p>
            <w:pPr>
              <w:pStyle w:val="TableBody"/>
              <w:tabs>
                <w:tab w:val="clear" w:pos="720"/>
                <w:tab w:val="decimal" w:pos="342" w:leader="none"/>
              </w:tabs>
              <w:rPr>
                <w:sz w:val="18"/>
              </w:rPr>
            </w:pPr>
            <w:r>
              <w:rPr>
                <w:sz w:val="18"/>
              </w:rPr>
              <w:t>194.5</w:t>
            </w:r>
          </w:p>
        </w:tc>
        <w:tc>
          <w:tcPr>
            <w:tcW w:w="786" w:type="dxa"/>
            <w:tcBorders/>
          </w:tcPr>
          <w:p>
            <w:pPr>
              <w:pStyle w:val="TableBody"/>
              <w:tabs>
                <w:tab w:val="clear" w:pos="720"/>
                <w:tab w:val="decimal" w:pos="342" w:leader="none"/>
              </w:tabs>
              <w:rPr>
                <w:sz w:val="18"/>
              </w:rPr>
            </w:pPr>
            <w:r>
              <w:rPr>
                <w:sz w:val="18"/>
              </w:rPr>
              <w:t>56.4</w:t>
            </w:r>
          </w:p>
        </w:tc>
        <w:tc>
          <w:tcPr>
            <w:tcW w:w="834" w:type="dxa"/>
            <w:tcBorders/>
          </w:tcPr>
          <w:p>
            <w:pPr>
              <w:pStyle w:val="TableBody"/>
              <w:tabs>
                <w:tab w:val="clear" w:pos="720"/>
                <w:tab w:val="decimal" w:pos="342" w:leader="none"/>
              </w:tabs>
              <w:rPr>
                <w:sz w:val="18"/>
              </w:rPr>
            </w:pPr>
            <w:r>
              <w:rPr>
                <w:sz w:val="18"/>
              </w:rPr>
              <w:t>20.3</w:t>
            </w:r>
          </w:p>
        </w:tc>
        <w:tc>
          <w:tcPr>
            <w:tcW w:w="738" w:type="dxa"/>
            <w:tcBorders>
              <w:end w:val="single" w:sz="6" w:space="0" w:color="000000"/>
            </w:tcBorders>
          </w:tcPr>
          <w:p>
            <w:pPr>
              <w:pStyle w:val="TableBody"/>
              <w:tabs>
                <w:tab w:val="clear" w:pos="720"/>
                <w:tab w:val="decimal" w:pos="384" w:leader="none"/>
              </w:tabs>
              <w:rPr>
                <w:sz w:val="18"/>
              </w:rPr>
            </w:pPr>
            <w:r>
              <w:rPr>
                <w:sz w:val="18"/>
              </w:rPr>
              <w:t>353.0</w:t>
            </w:r>
          </w:p>
        </w:tc>
      </w:tr>
      <w:tr>
        <w:trPr/>
        <w:tc>
          <w:tcPr>
            <w:tcW w:w="1274" w:type="dxa"/>
            <w:tcBorders>
              <w:start w:val="single" w:sz="6" w:space="0" w:color="000000"/>
            </w:tcBorders>
          </w:tcPr>
          <w:p>
            <w:pPr>
              <w:pStyle w:val="TableBody"/>
              <w:rPr>
                <w:sz w:val="18"/>
              </w:rPr>
            </w:pPr>
            <w:r>
              <w:rPr>
                <w:sz w:val="18"/>
              </w:rPr>
              <w:t>2003</w:t>
            </w:r>
          </w:p>
        </w:tc>
        <w:tc>
          <w:tcPr>
            <w:tcW w:w="720" w:type="dxa"/>
            <w:tcBorders/>
          </w:tcPr>
          <w:p>
            <w:pPr>
              <w:pStyle w:val="TableBody"/>
              <w:tabs>
                <w:tab w:val="clear" w:pos="720"/>
                <w:tab w:val="decimal" w:pos="342" w:leader="none"/>
              </w:tabs>
              <w:rPr>
                <w:sz w:val="18"/>
              </w:rPr>
            </w:pPr>
            <w:r>
              <w:rPr>
                <w:sz w:val="18"/>
              </w:rPr>
              <w:t>23.9</w:t>
            </w:r>
          </w:p>
        </w:tc>
        <w:tc>
          <w:tcPr>
            <w:tcW w:w="966" w:type="dxa"/>
            <w:tcBorders/>
          </w:tcPr>
          <w:p>
            <w:pPr>
              <w:pStyle w:val="TableBody"/>
              <w:tabs>
                <w:tab w:val="clear" w:pos="720"/>
                <w:tab w:val="decimal" w:pos="342" w:leader="none"/>
              </w:tabs>
              <w:rPr>
                <w:sz w:val="18"/>
              </w:rPr>
            </w:pPr>
            <w:r>
              <w:rPr>
                <w:sz w:val="18"/>
              </w:rPr>
              <w:t>62.6</w:t>
            </w:r>
          </w:p>
        </w:tc>
        <w:tc>
          <w:tcPr>
            <w:tcW w:w="1014" w:type="dxa"/>
            <w:tcBorders/>
          </w:tcPr>
          <w:p>
            <w:pPr>
              <w:pStyle w:val="TableBody"/>
              <w:tabs>
                <w:tab w:val="clear" w:pos="720"/>
                <w:tab w:val="decimal" w:pos="342" w:leader="none"/>
              </w:tabs>
              <w:rPr>
                <w:sz w:val="18"/>
              </w:rPr>
            </w:pPr>
            <w:r>
              <w:rPr>
                <w:sz w:val="18"/>
              </w:rPr>
              <w:t>201.9</w:t>
            </w:r>
          </w:p>
        </w:tc>
        <w:tc>
          <w:tcPr>
            <w:tcW w:w="786" w:type="dxa"/>
            <w:tcBorders/>
          </w:tcPr>
          <w:p>
            <w:pPr>
              <w:pStyle w:val="TableBody"/>
              <w:tabs>
                <w:tab w:val="clear" w:pos="720"/>
                <w:tab w:val="decimal" w:pos="342" w:leader="none"/>
              </w:tabs>
              <w:rPr>
                <w:sz w:val="18"/>
              </w:rPr>
            </w:pPr>
            <w:r>
              <w:rPr>
                <w:sz w:val="18"/>
              </w:rPr>
              <w:t>59.4</w:t>
            </w:r>
          </w:p>
        </w:tc>
        <w:tc>
          <w:tcPr>
            <w:tcW w:w="834" w:type="dxa"/>
            <w:tcBorders/>
          </w:tcPr>
          <w:p>
            <w:pPr>
              <w:pStyle w:val="TableBody"/>
              <w:tabs>
                <w:tab w:val="clear" w:pos="720"/>
                <w:tab w:val="decimal" w:pos="342" w:leader="none"/>
              </w:tabs>
              <w:rPr>
                <w:sz w:val="18"/>
              </w:rPr>
            </w:pPr>
            <w:r>
              <w:rPr>
                <w:sz w:val="18"/>
              </w:rPr>
              <w:t>21.5</w:t>
            </w:r>
          </w:p>
        </w:tc>
        <w:tc>
          <w:tcPr>
            <w:tcW w:w="738" w:type="dxa"/>
            <w:tcBorders>
              <w:end w:val="single" w:sz="6" w:space="0" w:color="000000"/>
            </w:tcBorders>
          </w:tcPr>
          <w:p>
            <w:pPr>
              <w:pStyle w:val="TableBody"/>
              <w:tabs>
                <w:tab w:val="clear" w:pos="720"/>
                <w:tab w:val="decimal" w:pos="384" w:leader="none"/>
              </w:tabs>
              <w:rPr>
                <w:sz w:val="18"/>
              </w:rPr>
            </w:pPr>
            <w:r>
              <w:rPr>
                <w:sz w:val="18"/>
              </w:rPr>
              <w:t>369.3</w:t>
            </w:r>
          </w:p>
        </w:tc>
      </w:tr>
      <w:tr>
        <w:trPr/>
        <w:tc>
          <w:tcPr>
            <w:tcW w:w="1274" w:type="dxa"/>
            <w:tcBorders>
              <w:start w:val="single" w:sz="6" w:space="0" w:color="000000"/>
            </w:tcBorders>
          </w:tcPr>
          <w:p>
            <w:pPr>
              <w:pStyle w:val="TableBody"/>
              <w:rPr>
                <w:sz w:val="18"/>
              </w:rPr>
            </w:pPr>
            <w:r>
              <w:rPr>
                <w:sz w:val="18"/>
              </w:rPr>
              <w:t>2004</w:t>
            </w:r>
          </w:p>
        </w:tc>
        <w:tc>
          <w:tcPr>
            <w:tcW w:w="720" w:type="dxa"/>
            <w:tcBorders/>
          </w:tcPr>
          <w:p>
            <w:pPr>
              <w:pStyle w:val="TableBody"/>
              <w:tabs>
                <w:tab w:val="clear" w:pos="720"/>
                <w:tab w:val="decimal" w:pos="342" w:leader="none"/>
              </w:tabs>
              <w:rPr>
                <w:sz w:val="18"/>
              </w:rPr>
            </w:pPr>
            <w:r>
              <w:rPr>
                <w:sz w:val="18"/>
              </w:rPr>
              <w:t>25.4</w:t>
            </w:r>
          </w:p>
        </w:tc>
        <w:tc>
          <w:tcPr>
            <w:tcW w:w="966" w:type="dxa"/>
            <w:tcBorders/>
          </w:tcPr>
          <w:p>
            <w:pPr>
              <w:pStyle w:val="TableBody"/>
              <w:tabs>
                <w:tab w:val="clear" w:pos="720"/>
                <w:tab w:val="decimal" w:pos="342" w:leader="none"/>
              </w:tabs>
              <w:rPr>
                <w:sz w:val="18"/>
              </w:rPr>
            </w:pPr>
            <w:r>
              <w:rPr>
                <w:sz w:val="18"/>
              </w:rPr>
              <w:t>66.6</w:t>
            </w:r>
          </w:p>
        </w:tc>
        <w:tc>
          <w:tcPr>
            <w:tcW w:w="1014" w:type="dxa"/>
            <w:tcBorders/>
          </w:tcPr>
          <w:p>
            <w:pPr>
              <w:pStyle w:val="TableBody"/>
              <w:tabs>
                <w:tab w:val="clear" w:pos="720"/>
                <w:tab w:val="decimal" w:pos="342" w:leader="none"/>
              </w:tabs>
              <w:rPr>
                <w:sz w:val="18"/>
              </w:rPr>
            </w:pPr>
            <w:r>
              <w:rPr>
                <w:sz w:val="18"/>
              </w:rPr>
              <w:t>209.7</w:t>
            </w:r>
          </w:p>
        </w:tc>
        <w:tc>
          <w:tcPr>
            <w:tcW w:w="786" w:type="dxa"/>
            <w:tcBorders/>
          </w:tcPr>
          <w:p>
            <w:pPr>
              <w:pStyle w:val="TableBody"/>
              <w:tabs>
                <w:tab w:val="clear" w:pos="720"/>
                <w:tab w:val="decimal" w:pos="342" w:leader="none"/>
              </w:tabs>
              <w:rPr>
                <w:sz w:val="18"/>
              </w:rPr>
            </w:pPr>
            <w:r>
              <w:rPr>
                <w:sz w:val="18"/>
              </w:rPr>
              <w:t>62.4</w:t>
            </w:r>
          </w:p>
        </w:tc>
        <w:tc>
          <w:tcPr>
            <w:tcW w:w="834" w:type="dxa"/>
            <w:tcBorders/>
          </w:tcPr>
          <w:p>
            <w:pPr>
              <w:pStyle w:val="TableBody"/>
              <w:tabs>
                <w:tab w:val="clear" w:pos="720"/>
                <w:tab w:val="decimal" w:pos="342" w:leader="none"/>
              </w:tabs>
              <w:rPr>
                <w:sz w:val="18"/>
              </w:rPr>
            </w:pPr>
            <w:r>
              <w:rPr>
                <w:sz w:val="18"/>
              </w:rPr>
              <w:t>22.6</w:t>
            </w:r>
          </w:p>
        </w:tc>
        <w:tc>
          <w:tcPr>
            <w:tcW w:w="738" w:type="dxa"/>
            <w:tcBorders>
              <w:end w:val="single" w:sz="6" w:space="0" w:color="000000"/>
            </w:tcBorders>
          </w:tcPr>
          <w:p>
            <w:pPr>
              <w:pStyle w:val="TableBody"/>
              <w:tabs>
                <w:tab w:val="clear" w:pos="720"/>
                <w:tab w:val="decimal" w:pos="384" w:leader="none"/>
              </w:tabs>
              <w:rPr>
                <w:sz w:val="18"/>
              </w:rPr>
            </w:pPr>
            <w:r>
              <w:rPr>
                <w:sz w:val="18"/>
              </w:rPr>
              <w:t>386.7</w:t>
            </w:r>
          </w:p>
        </w:tc>
      </w:tr>
      <w:tr>
        <w:trPr/>
        <w:tc>
          <w:tcPr>
            <w:tcW w:w="1274" w:type="dxa"/>
            <w:tcBorders>
              <w:start w:val="single" w:sz="6" w:space="0" w:color="000000"/>
            </w:tcBorders>
          </w:tcPr>
          <w:p>
            <w:pPr>
              <w:pStyle w:val="TableBody"/>
              <w:rPr>
                <w:sz w:val="18"/>
              </w:rPr>
            </w:pPr>
            <w:r>
              <w:rPr>
                <w:sz w:val="18"/>
              </w:rPr>
              <w:t>2005</w:t>
            </w:r>
          </w:p>
        </w:tc>
        <w:tc>
          <w:tcPr>
            <w:tcW w:w="720" w:type="dxa"/>
            <w:tcBorders/>
          </w:tcPr>
          <w:p>
            <w:pPr>
              <w:pStyle w:val="TableBody"/>
              <w:tabs>
                <w:tab w:val="clear" w:pos="720"/>
                <w:tab w:val="decimal" w:pos="342" w:leader="none"/>
              </w:tabs>
              <w:rPr>
                <w:sz w:val="18"/>
              </w:rPr>
            </w:pPr>
            <w:r>
              <w:rPr>
                <w:sz w:val="18"/>
              </w:rPr>
              <w:t>27.7</w:t>
            </w:r>
          </w:p>
        </w:tc>
        <w:tc>
          <w:tcPr>
            <w:tcW w:w="966" w:type="dxa"/>
            <w:tcBorders/>
          </w:tcPr>
          <w:p>
            <w:pPr>
              <w:pStyle w:val="TableBody"/>
              <w:tabs>
                <w:tab w:val="clear" w:pos="720"/>
                <w:tab w:val="decimal" w:pos="342" w:leader="none"/>
              </w:tabs>
              <w:rPr>
                <w:sz w:val="18"/>
              </w:rPr>
            </w:pPr>
            <w:r>
              <w:rPr>
                <w:sz w:val="18"/>
              </w:rPr>
              <w:t>69.9</w:t>
            </w:r>
          </w:p>
        </w:tc>
        <w:tc>
          <w:tcPr>
            <w:tcW w:w="1014" w:type="dxa"/>
            <w:tcBorders/>
          </w:tcPr>
          <w:p>
            <w:pPr>
              <w:pStyle w:val="TableBody"/>
              <w:tabs>
                <w:tab w:val="clear" w:pos="720"/>
                <w:tab w:val="decimal" w:pos="342" w:leader="none"/>
              </w:tabs>
              <w:rPr>
                <w:sz w:val="18"/>
              </w:rPr>
            </w:pPr>
            <w:r>
              <w:rPr>
                <w:sz w:val="18"/>
              </w:rPr>
              <w:t>217.8</w:t>
            </w:r>
          </w:p>
        </w:tc>
        <w:tc>
          <w:tcPr>
            <w:tcW w:w="786" w:type="dxa"/>
            <w:tcBorders/>
          </w:tcPr>
          <w:p>
            <w:pPr>
              <w:pStyle w:val="TableBody"/>
              <w:tabs>
                <w:tab w:val="clear" w:pos="720"/>
                <w:tab w:val="decimal" w:pos="342" w:leader="none"/>
              </w:tabs>
              <w:rPr>
                <w:sz w:val="18"/>
              </w:rPr>
            </w:pPr>
            <w:r>
              <w:rPr>
                <w:sz w:val="18"/>
              </w:rPr>
              <w:t>65.4</w:t>
            </w:r>
          </w:p>
        </w:tc>
        <w:tc>
          <w:tcPr>
            <w:tcW w:w="834" w:type="dxa"/>
            <w:tcBorders/>
          </w:tcPr>
          <w:p>
            <w:pPr>
              <w:pStyle w:val="TableBody"/>
              <w:tabs>
                <w:tab w:val="clear" w:pos="720"/>
                <w:tab w:val="decimal" w:pos="342" w:leader="none"/>
              </w:tabs>
              <w:rPr>
                <w:sz w:val="18"/>
              </w:rPr>
            </w:pPr>
            <w:r>
              <w:rPr>
                <w:sz w:val="18"/>
              </w:rPr>
              <w:t>23.8</w:t>
            </w:r>
          </w:p>
        </w:tc>
        <w:tc>
          <w:tcPr>
            <w:tcW w:w="738" w:type="dxa"/>
            <w:tcBorders>
              <w:end w:val="single" w:sz="6" w:space="0" w:color="000000"/>
            </w:tcBorders>
          </w:tcPr>
          <w:p>
            <w:pPr>
              <w:pStyle w:val="TableBody"/>
              <w:tabs>
                <w:tab w:val="clear" w:pos="720"/>
                <w:tab w:val="decimal" w:pos="384" w:leader="none"/>
              </w:tabs>
              <w:rPr>
                <w:sz w:val="18"/>
              </w:rPr>
            </w:pPr>
            <w:r>
              <w:rPr>
                <w:sz w:val="18"/>
              </w:rPr>
              <w:t>404.6</w:t>
            </w:r>
          </w:p>
        </w:tc>
      </w:tr>
      <w:tr>
        <w:trPr/>
        <w:tc>
          <w:tcPr>
            <w:tcW w:w="1274" w:type="dxa"/>
            <w:tcBorders>
              <w:start w:val="single" w:sz="6" w:space="0" w:color="000000"/>
            </w:tcBorders>
          </w:tcPr>
          <w:p>
            <w:pPr>
              <w:pStyle w:val="TableBody"/>
              <w:rPr>
                <w:sz w:val="18"/>
              </w:rPr>
            </w:pPr>
            <w:r>
              <w:rPr>
                <w:sz w:val="18"/>
              </w:rPr>
              <w:t>2006</w:t>
            </w:r>
          </w:p>
        </w:tc>
        <w:tc>
          <w:tcPr>
            <w:tcW w:w="720" w:type="dxa"/>
            <w:tcBorders/>
          </w:tcPr>
          <w:p>
            <w:pPr>
              <w:pStyle w:val="TableBody"/>
              <w:tabs>
                <w:tab w:val="clear" w:pos="720"/>
                <w:tab w:val="decimal" w:pos="342" w:leader="none"/>
              </w:tabs>
              <w:rPr>
                <w:sz w:val="18"/>
              </w:rPr>
            </w:pPr>
            <w:r>
              <w:rPr>
                <w:sz w:val="18"/>
              </w:rPr>
              <w:t>30.6</w:t>
            </w:r>
          </w:p>
        </w:tc>
        <w:tc>
          <w:tcPr>
            <w:tcW w:w="966" w:type="dxa"/>
            <w:tcBorders/>
          </w:tcPr>
          <w:p>
            <w:pPr>
              <w:pStyle w:val="TableBody"/>
              <w:tabs>
                <w:tab w:val="clear" w:pos="720"/>
                <w:tab w:val="decimal" w:pos="342" w:leader="none"/>
              </w:tabs>
              <w:rPr>
                <w:sz w:val="18"/>
              </w:rPr>
            </w:pPr>
            <w:r>
              <w:rPr>
                <w:sz w:val="18"/>
              </w:rPr>
              <w:t>73.7</w:t>
            </w:r>
          </w:p>
        </w:tc>
        <w:tc>
          <w:tcPr>
            <w:tcW w:w="1014" w:type="dxa"/>
            <w:tcBorders/>
          </w:tcPr>
          <w:p>
            <w:pPr>
              <w:pStyle w:val="TableBody"/>
              <w:tabs>
                <w:tab w:val="clear" w:pos="720"/>
                <w:tab w:val="decimal" w:pos="342" w:leader="none"/>
              </w:tabs>
              <w:rPr>
                <w:sz w:val="18"/>
              </w:rPr>
            </w:pPr>
            <w:r>
              <w:rPr>
                <w:sz w:val="18"/>
              </w:rPr>
              <w:t>226.7</w:t>
            </w:r>
          </w:p>
        </w:tc>
        <w:tc>
          <w:tcPr>
            <w:tcW w:w="786" w:type="dxa"/>
            <w:tcBorders/>
          </w:tcPr>
          <w:p>
            <w:pPr>
              <w:pStyle w:val="TableBody"/>
              <w:tabs>
                <w:tab w:val="clear" w:pos="720"/>
                <w:tab w:val="decimal" w:pos="342" w:leader="none"/>
              </w:tabs>
              <w:rPr>
                <w:sz w:val="18"/>
              </w:rPr>
            </w:pPr>
            <w:r>
              <w:rPr>
                <w:sz w:val="18"/>
              </w:rPr>
              <w:t>68.6</w:t>
            </w:r>
          </w:p>
        </w:tc>
        <w:tc>
          <w:tcPr>
            <w:tcW w:w="834" w:type="dxa"/>
            <w:tcBorders/>
          </w:tcPr>
          <w:p>
            <w:pPr>
              <w:pStyle w:val="TableBody"/>
              <w:tabs>
                <w:tab w:val="clear" w:pos="720"/>
                <w:tab w:val="decimal" w:pos="342" w:leader="none"/>
              </w:tabs>
              <w:rPr>
                <w:sz w:val="18"/>
              </w:rPr>
            </w:pPr>
            <w:r>
              <w:rPr>
                <w:sz w:val="18"/>
              </w:rPr>
              <w:t>24.9</w:t>
            </w:r>
          </w:p>
        </w:tc>
        <w:tc>
          <w:tcPr>
            <w:tcW w:w="738" w:type="dxa"/>
            <w:tcBorders>
              <w:end w:val="single" w:sz="6" w:space="0" w:color="000000"/>
            </w:tcBorders>
          </w:tcPr>
          <w:p>
            <w:pPr>
              <w:pStyle w:val="TableBody"/>
              <w:tabs>
                <w:tab w:val="clear" w:pos="720"/>
                <w:tab w:val="decimal" w:pos="384" w:leader="none"/>
              </w:tabs>
              <w:rPr>
                <w:sz w:val="18"/>
              </w:rPr>
            </w:pPr>
            <w:r>
              <w:rPr>
                <w:sz w:val="18"/>
              </w:rPr>
              <w:t>424.5</w:t>
            </w:r>
          </w:p>
        </w:tc>
      </w:tr>
      <w:tr>
        <w:trPr/>
        <w:tc>
          <w:tcPr>
            <w:tcW w:w="1274" w:type="dxa"/>
            <w:tcBorders>
              <w:start w:val="single" w:sz="6" w:space="0" w:color="000000"/>
            </w:tcBorders>
          </w:tcPr>
          <w:p>
            <w:pPr>
              <w:pStyle w:val="TableBody"/>
              <w:rPr>
                <w:sz w:val="18"/>
              </w:rPr>
            </w:pPr>
            <w:r>
              <w:rPr>
                <w:sz w:val="18"/>
              </w:rPr>
              <w:t>2007</w:t>
            </w:r>
          </w:p>
        </w:tc>
        <w:tc>
          <w:tcPr>
            <w:tcW w:w="720" w:type="dxa"/>
            <w:tcBorders/>
          </w:tcPr>
          <w:p>
            <w:pPr>
              <w:pStyle w:val="TableBody"/>
              <w:tabs>
                <w:tab w:val="clear" w:pos="720"/>
                <w:tab w:val="decimal" w:pos="342" w:leader="none"/>
              </w:tabs>
              <w:rPr>
                <w:sz w:val="18"/>
              </w:rPr>
            </w:pPr>
            <w:r>
              <w:rPr>
                <w:sz w:val="18"/>
              </w:rPr>
              <w:t>33.2</w:t>
            </w:r>
          </w:p>
        </w:tc>
        <w:tc>
          <w:tcPr>
            <w:tcW w:w="966" w:type="dxa"/>
            <w:tcBorders/>
          </w:tcPr>
          <w:p>
            <w:pPr>
              <w:pStyle w:val="TableBody"/>
              <w:tabs>
                <w:tab w:val="clear" w:pos="720"/>
                <w:tab w:val="decimal" w:pos="342" w:leader="none"/>
              </w:tabs>
              <w:rPr>
                <w:sz w:val="18"/>
              </w:rPr>
            </w:pPr>
            <w:r>
              <w:rPr>
                <w:sz w:val="18"/>
              </w:rPr>
              <w:t>77.2</w:t>
            </w:r>
          </w:p>
        </w:tc>
        <w:tc>
          <w:tcPr>
            <w:tcW w:w="1014" w:type="dxa"/>
            <w:tcBorders/>
          </w:tcPr>
          <w:p>
            <w:pPr>
              <w:pStyle w:val="TableBody"/>
              <w:tabs>
                <w:tab w:val="clear" w:pos="720"/>
                <w:tab w:val="decimal" w:pos="342" w:leader="none"/>
              </w:tabs>
              <w:rPr>
                <w:sz w:val="18"/>
              </w:rPr>
            </w:pPr>
            <w:r>
              <w:rPr>
                <w:sz w:val="18"/>
              </w:rPr>
              <w:t>235.4</w:t>
            </w:r>
          </w:p>
        </w:tc>
        <w:tc>
          <w:tcPr>
            <w:tcW w:w="786" w:type="dxa"/>
            <w:tcBorders/>
          </w:tcPr>
          <w:p>
            <w:pPr>
              <w:pStyle w:val="TableBody"/>
              <w:tabs>
                <w:tab w:val="clear" w:pos="720"/>
                <w:tab w:val="decimal" w:pos="342" w:leader="none"/>
              </w:tabs>
              <w:rPr>
                <w:sz w:val="18"/>
              </w:rPr>
            </w:pPr>
            <w:r>
              <w:rPr>
                <w:sz w:val="18"/>
              </w:rPr>
              <w:t>72.0</w:t>
            </w:r>
          </w:p>
        </w:tc>
        <w:tc>
          <w:tcPr>
            <w:tcW w:w="834" w:type="dxa"/>
            <w:tcBorders/>
          </w:tcPr>
          <w:p>
            <w:pPr>
              <w:pStyle w:val="TableBody"/>
              <w:tabs>
                <w:tab w:val="clear" w:pos="720"/>
                <w:tab w:val="decimal" w:pos="342" w:leader="none"/>
              </w:tabs>
              <w:rPr>
                <w:sz w:val="18"/>
              </w:rPr>
            </w:pPr>
            <w:r>
              <w:rPr>
                <w:sz w:val="18"/>
              </w:rPr>
              <w:t>26.1</w:t>
            </w:r>
          </w:p>
        </w:tc>
        <w:tc>
          <w:tcPr>
            <w:tcW w:w="738" w:type="dxa"/>
            <w:tcBorders>
              <w:end w:val="single" w:sz="6" w:space="0" w:color="000000"/>
            </w:tcBorders>
          </w:tcPr>
          <w:p>
            <w:pPr>
              <w:pStyle w:val="TableBody"/>
              <w:tabs>
                <w:tab w:val="clear" w:pos="720"/>
                <w:tab w:val="decimal" w:pos="384" w:leader="none"/>
              </w:tabs>
              <w:rPr>
                <w:sz w:val="18"/>
              </w:rPr>
            </w:pPr>
            <w:r>
              <w:rPr>
                <w:sz w:val="18"/>
              </w:rPr>
              <w:t>443.9</w:t>
            </w:r>
          </w:p>
        </w:tc>
      </w:tr>
      <w:tr>
        <w:trPr>
          <w:trHeight w:val="133" w:hRule="atLeast"/>
        </w:trPr>
        <w:tc>
          <w:tcPr>
            <w:tcW w:w="2960" w:type="dxa"/>
            <w:gridSpan w:val="3"/>
            <w:tcBorders>
              <w:start w:val="single" w:sz="6" w:space="0" w:color="000000"/>
            </w:tcBorders>
          </w:tcPr>
          <w:p>
            <w:pPr>
              <w:pStyle w:val="TableBody"/>
              <w:tabs>
                <w:tab w:val="clear" w:pos="720"/>
                <w:tab w:val="decimal" w:pos="342" w:leader="none"/>
              </w:tabs>
              <w:snapToGrid w:val="false"/>
              <w:rPr>
                <w:sz w:val="12"/>
              </w:rPr>
            </w:pPr>
            <w:r>
              <w:rPr>
                <w:sz w:val="12"/>
              </w:rPr>
            </w:r>
          </w:p>
        </w:tc>
        <w:tc>
          <w:tcPr>
            <w:tcW w:w="1014" w:type="dxa"/>
            <w:tcBorders/>
          </w:tcPr>
          <w:p>
            <w:pPr>
              <w:pStyle w:val="TableBody"/>
              <w:tabs>
                <w:tab w:val="clear" w:pos="720"/>
                <w:tab w:val="decimal" w:pos="342" w:leader="none"/>
              </w:tabs>
              <w:snapToGrid w:val="false"/>
              <w:rPr>
                <w:sz w:val="12"/>
              </w:rPr>
            </w:pPr>
            <w:r>
              <w:rPr>
                <w:sz w:val="12"/>
              </w:rPr>
            </w:r>
          </w:p>
        </w:tc>
        <w:tc>
          <w:tcPr>
            <w:tcW w:w="786" w:type="dxa"/>
            <w:tcBorders/>
          </w:tcPr>
          <w:p>
            <w:pPr>
              <w:pStyle w:val="TableBody"/>
              <w:tabs>
                <w:tab w:val="clear" w:pos="720"/>
                <w:tab w:val="decimal" w:pos="342" w:leader="none"/>
              </w:tabs>
              <w:snapToGrid w:val="false"/>
              <w:rPr>
                <w:sz w:val="12"/>
              </w:rPr>
            </w:pPr>
            <w:r>
              <w:rPr>
                <w:sz w:val="12"/>
              </w:rPr>
            </w:r>
          </w:p>
        </w:tc>
        <w:tc>
          <w:tcPr>
            <w:tcW w:w="834" w:type="dxa"/>
            <w:tcBorders/>
          </w:tcPr>
          <w:p>
            <w:pPr>
              <w:pStyle w:val="TableBody"/>
              <w:tabs>
                <w:tab w:val="clear" w:pos="720"/>
                <w:tab w:val="decimal" w:pos="342" w:leader="none"/>
              </w:tabs>
              <w:snapToGrid w:val="false"/>
              <w:rPr>
                <w:sz w:val="12"/>
              </w:rPr>
            </w:pPr>
            <w:r>
              <w:rPr>
                <w:sz w:val="12"/>
              </w:rPr>
            </w:r>
          </w:p>
        </w:tc>
        <w:tc>
          <w:tcPr>
            <w:tcW w:w="738" w:type="dxa"/>
            <w:tcBorders>
              <w:end w:val="single" w:sz="6" w:space="0" w:color="000000"/>
            </w:tcBorders>
          </w:tcPr>
          <w:p>
            <w:pPr>
              <w:pStyle w:val="TableBody"/>
              <w:tabs>
                <w:tab w:val="clear" w:pos="720"/>
                <w:tab w:val="decimal" w:pos="384" w:leader="none"/>
              </w:tabs>
              <w:snapToGrid w:val="false"/>
              <w:rPr>
                <w:sz w:val="12"/>
              </w:rPr>
            </w:pPr>
            <w:r>
              <w:rPr>
                <w:sz w:val="12"/>
              </w:rPr>
            </w:r>
          </w:p>
        </w:tc>
      </w:tr>
      <w:tr>
        <w:trPr/>
        <w:tc>
          <w:tcPr>
            <w:tcW w:w="2960" w:type="dxa"/>
            <w:gridSpan w:val="3"/>
            <w:tcBorders>
              <w:start w:val="single" w:sz="6" w:space="0" w:color="000000"/>
            </w:tcBorders>
          </w:tcPr>
          <w:p>
            <w:pPr>
              <w:pStyle w:val="TableBody"/>
              <w:tabs>
                <w:tab w:val="clear" w:pos="720"/>
                <w:tab w:val="decimal" w:pos="342" w:leader="none"/>
              </w:tabs>
              <w:rPr>
                <w:sz w:val="18"/>
              </w:rPr>
            </w:pPr>
            <w:r>
              <w:rPr>
                <w:sz w:val="18"/>
              </w:rPr>
              <w:t>Growth Rates (% per year):</w:t>
            </w:r>
          </w:p>
        </w:tc>
        <w:tc>
          <w:tcPr>
            <w:tcW w:w="1014" w:type="dxa"/>
            <w:tcBorders/>
          </w:tcPr>
          <w:p>
            <w:pPr>
              <w:pStyle w:val="TableBody"/>
              <w:tabs>
                <w:tab w:val="clear" w:pos="720"/>
                <w:tab w:val="decimal" w:pos="342" w:leader="none"/>
              </w:tabs>
              <w:snapToGrid w:val="false"/>
              <w:rPr>
                <w:sz w:val="18"/>
              </w:rPr>
            </w:pPr>
            <w:r>
              <w:rPr>
                <w:sz w:val="18"/>
              </w:rPr>
            </w:r>
          </w:p>
        </w:tc>
        <w:tc>
          <w:tcPr>
            <w:tcW w:w="786" w:type="dxa"/>
            <w:tcBorders/>
          </w:tcPr>
          <w:p>
            <w:pPr>
              <w:pStyle w:val="TableBody"/>
              <w:tabs>
                <w:tab w:val="clear" w:pos="720"/>
                <w:tab w:val="decimal" w:pos="342" w:leader="none"/>
              </w:tabs>
              <w:snapToGrid w:val="false"/>
              <w:rPr>
                <w:sz w:val="18"/>
              </w:rPr>
            </w:pPr>
            <w:r>
              <w:rPr>
                <w:sz w:val="18"/>
              </w:rPr>
            </w:r>
          </w:p>
        </w:tc>
        <w:tc>
          <w:tcPr>
            <w:tcW w:w="834" w:type="dxa"/>
            <w:tcBorders/>
          </w:tcPr>
          <w:p>
            <w:pPr>
              <w:pStyle w:val="TableBody"/>
              <w:tabs>
                <w:tab w:val="clear" w:pos="720"/>
                <w:tab w:val="decimal" w:pos="342" w:leader="none"/>
              </w:tabs>
              <w:snapToGrid w:val="false"/>
              <w:rPr>
                <w:sz w:val="18"/>
              </w:rPr>
            </w:pPr>
            <w:r>
              <w:rPr>
                <w:sz w:val="18"/>
              </w:rPr>
            </w:r>
          </w:p>
        </w:tc>
        <w:tc>
          <w:tcPr>
            <w:tcW w:w="738" w:type="dxa"/>
            <w:tcBorders>
              <w:end w:val="single" w:sz="6" w:space="0" w:color="000000"/>
            </w:tcBorders>
          </w:tcPr>
          <w:p>
            <w:pPr>
              <w:pStyle w:val="TableBody"/>
              <w:tabs>
                <w:tab w:val="clear" w:pos="720"/>
                <w:tab w:val="decimal" w:pos="384" w:leader="none"/>
              </w:tabs>
              <w:snapToGrid w:val="false"/>
              <w:rPr>
                <w:sz w:val="18"/>
              </w:rPr>
            </w:pPr>
            <w:r>
              <w:rPr>
                <w:sz w:val="18"/>
              </w:rPr>
            </w:r>
          </w:p>
        </w:tc>
      </w:tr>
      <w:tr>
        <w:trPr/>
        <w:tc>
          <w:tcPr>
            <w:tcW w:w="1274" w:type="dxa"/>
            <w:tcBorders>
              <w:start w:val="single" w:sz="6" w:space="0" w:color="000000"/>
            </w:tcBorders>
          </w:tcPr>
          <w:p>
            <w:pPr>
              <w:pStyle w:val="TableBody"/>
              <w:rPr>
                <w:sz w:val="18"/>
              </w:rPr>
            </w:pPr>
            <w:r>
              <w:rPr>
                <w:sz w:val="18"/>
              </w:rPr>
              <w:t>1997/2002</w:t>
            </w:r>
          </w:p>
        </w:tc>
        <w:tc>
          <w:tcPr>
            <w:tcW w:w="720" w:type="dxa"/>
            <w:tcBorders/>
          </w:tcPr>
          <w:p>
            <w:pPr>
              <w:pStyle w:val="TableBody"/>
              <w:tabs>
                <w:tab w:val="clear" w:pos="720"/>
                <w:tab w:val="decimal" w:pos="342" w:leader="none"/>
              </w:tabs>
              <w:rPr>
                <w:sz w:val="18"/>
              </w:rPr>
            </w:pPr>
            <w:r>
              <w:rPr>
                <w:sz w:val="18"/>
              </w:rPr>
              <w:t>9.1</w:t>
            </w:r>
          </w:p>
        </w:tc>
        <w:tc>
          <w:tcPr>
            <w:tcW w:w="966" w:type="dxa"/>
            <w:tcBorders/>
          </w:tcPr>
          <w:p>
            <w:pPr>
              <w:pStyle w:val="TableBody"/>
              <w:tabs>
                <w:tab w:val="clear" w:pos="720"/>
                <w:tab w:val="decimal" w:pos="342" w:leader="none"/>
              </w:tabs>
              <w:rPr>
                <w:sz w:val="18"/>
              </w:rPr>
            </w:pPr>
            <w:r>
              <w:rPr>
                <w:sz w:val="18"/>
              </w:rPr>
              <w:t>6.6</w:t>
            </w:r>
          </w:p>
        </w:tc>
        <w:tc>
          <w:tcPr>
            <w:tcW w:w="1014" w:type="dxa"/>
            <w:tcBorders/>
          </w:tcPr>
          <w:p>
            <w:pPr>
              <w:pStyle w:val="TableBody"/>
              <w:tabs>
                <w:tab w:val="clear" w:pos="720"/>
                <w:tab w:val="decimal" w:pos="342" w:leader="none"/>
              </w:tabs>
              <w:rPr>
                <w:sz w:val="18"/>
              </w:rPr>
            </w:pPr>
            <w:r>
              <w:rPr>
                <w:sz w:val="18"/>
              </w:rPr>
              <w:t>4.1</w:t>
            </w:r>
          </w:p>
        </w:tc>
        <w:tc>
          <w:tcPr>
            <w:tcW w:w="786" w:type="dxa"/>
            <w:tcBorders/>
          </w:tcPr>
          <w:p>
            <w:pPr>
              <w:pStyle w:val="TableBody"/>
              <w:tabs>
                <w:tab w:val="clear" w:pos="720"/>
                <w:tab w:val="decimal" w:pos="342" w:leader="none"/>
              </w:tabs>
              <w:rPr>
                <w:sz w:val="18"/>
              </w:rPr>
            </w:pPr>
            <w:r>
              <w:rPr>
                <w:sz w:val="18"/>
              </w:rPr>
              <w:t>6.2</w:t>
            </w:r>
          </w:p>
        </w:tc>
        <w:tc>
          <w:tcPr>
            <w:tcW w:w="834" w:type="dxa"/>
            <w:tcBorders/>
          </w:tcPr>
          <w:p>
            <w:pPr>
              <w:pStyle w:val="TableBody"/>
              <w:tabs>
                <w:tab w:val="clear" w:pos="720"/>
                <w:tab w:val="decimal" w:pos="342" w:leader="none"/>
              </w:tabs>
              <w:rPr>
                <w:sz w:val="18"/>
              </w:rPr>
            </w:pPr>
            <w:r>
              <w:rPr>
                <w:sz w:val="18"/>
              </w:rPr>
              <w:t>8.2</w:t>
            </w:r>
          </w:p>
        </w:tc>
        <w:tc>
          <w:tcPr>
            <w:tcW w:w="738" w:type="dxa"/>
            <w:tcBorders>
              <w:end w:val="single" w:sz="6" w:space="0" w:color="000000"/>
            </w:tcBorders>
          </w:tcPr>
          <w:p>
            <w:pPr>
              <w:pStyle w:val="TableBody"/>
              <w:tabs>
                <w:tab w:val="clear" w:pos="720"/>
                <w:tab w:val="decimal" w:pos="384" w:leader="none"/>
              </w:tabs>
              <w:rPr>
                <w:sz w:val="18"/>
              </w:rPr>
            </w:pPr>
            <w:r>
              <w:rPr>
                <w:sz w:val="18"/>
              </w:rPr>
              <w:t>5.3</w:t>
            </w:r>
          </w:p>
        </w:tc>
      </w:tr>
      <w:tr>
        <w:trPr/>
        <w:tc>
          <w:tcPr>
            <w:tcW w:w="1274" w:type="dxa"/>
            <w:tcBorders>
              <w:start w:val="single" w:sz="6" w:space="0" w:color="000000"/>
            </w:tcBorders>
          </w:tcPr>
          <w:p>
            <w:pPr>
              <w:pStyle w:val="TableBody"/>
              <w:rPr>
                <w:sz w:val="18"/>
              </w:rPr>
            </w:pPr>
            <w:r>
              <w:rPr>
                <w:sz w:val="18"/>
              </w:rPr>
              <w:t>2002/2007</w:t>
            </w:r>
          </w:p>
        </w:tc>
        <w:tc>
          <w:tcPr>
            <w:tcW w:w="720" w:type="dxa"/>
            <w:tcBorders/>
          </w:tcPr>
          <w:p>
            <w:pPr>
              <w:pStyle w:val="TableBody"/>
              <w:tabs>
                <w:tab w:val="clear" w:pos="720"/>
                <w:tab w:val="decimal" w:pos="342" w:leader="none"/>
              </w:tabs>
              <w:rPr>
                <w:sz w:val="18"/>
              </w:rPr>
            </w:pPr>
            <w:r>
              <w:rPr>
                <w:sz w:val="18"/>
              </w:rPr>
              <w:t>8.5</w:t>
            </w:r>
          </w:p>
        </w:tc>
        <w:tc>
          <w:tcPr>
            <w:tcW w:w="966" w:type="dxa"/>
            <w:tcBorders/>
          </w:tcPr>
          <w:p>
            <w:pPr>
              <w:pStyle w:val="TableBody"/>
              <w:tabs>
                <w:tab w:val="clear" w:pos="720"/>
                <w:tab w:val="decimal" w:pos="342" w:leader="none"/>
              </w:tabs>
              <w:rPr>
                <w:sz w:val="18"/>
              </w:rPr>
            </w:pPr>
            <w:r>
              <w:rPr>
                <w:sz w:val="18"/>
              </w:rPr>
              <w:t>5.3</w:t>
            </w:r>
          </w:p>
        </w:tc>
        <w:tc>
          <w:tcPr>
            <w:tcW w:w="1014" w:type="dxa"/>
            <w:tcBorders/>
          </w:tcPr>
          <w:p>
            <w:pPr>
              <w:pStyle w:val="TableBody"/>
              <w:tabs>
                <w:tab w:val="clear" w:pos="720"/>
                <w:tab w:val="decimal" w:pos="342" w:leader="none"/>
              </w:tabs>
              <w:rPr>
                <w:sz w:val="18"/>
              </w:rPr>
            </w:pPr>
            <w:r>
              <w:rPr>
                <w:sz w:val="18"/>
              </w:rPr>
              <w:t>3.9</w:t>
            </w:r>
          </w:p>
        </w:tc>
        <w:tc>
          <w:tcPr>
            <w:tcW w:w="786" w:type="dxa"/>
            <w:tcBorders/>
          </w:tcPr>
          <w:p>
            <w:pPr>
              <w:pStyle w:val="TableBody"/>
              <w:tabs>
                <w:tab w:val="clear" w:pos="720"/>
                <w:tab w:val="decimal" w:pos="342" w:leader="none"/>
              </w:tabs>
              <w:rPr>
                <w:sz w:val="18"/>
              </w:rPr>
            </w:pPr>
            <w:r>
              <w:rPr>
                <w:sz w:val="18"/>
              </w:rPr>
              <w:t>5.0</w:t>
            </w:r>
          </w:p>
        </w:tc>
        <w:tc>
          <w:tcPr>
            <w:tcW w:w="834" w:type="dxa"/>
            <w:tcBorders/>
          </w:tcPr>
          <w:p>
            <w:pPr>
              <w:pStyle w:val="TableBody"/>
              <w:tabs>
                <w:tab w:val="clear" w:pos="720"/>
                <w:tab w:val="decimal" w:pos="342" w:leader="none"/>
              </w:tabs>
              <w:rPr>
                <w:sz w:val="18"/>
              </w:rPr>
            </w:pPr>
            <w:r>
              <w:rPr>
                <w:sz w:val="18"/>
              </w:rPr>
              <w:t>5.2</w:t>
            </w:r>
          </w:p>
        </w:tc>
        <w:tc>
          <w:tcPr>
            <w:tcW w:w="738" w:type="dxa"/>
            <w:tcBorders>
              <w:end w:val="single" w:sz="6" w:space="0" w:color="000000"/>
            </w:tcBorders>
          </w:tcPr>
          <w:p>
            <w:pPr>
              <w:pStyle w:val="TableBody"/>
              <w:tabs>
                <w:tab w:val="clear" w:pos="720"/>
                <w:tab w:val="decimal" w:pos="384" w:leader="none"/>
              </w:tabs>
              <w:rPr>
                <w:sz w:val="18"/>
              </w:rPr>
            </w:pPr>
            <w:r>
              <w:rPr>
                <w:sz w:val="18"/>
              </w:rPr>
              <w:t>4.7</w:t>
            </w:r>
          </w:p>
        </w:tc>
      </w:tr>
      <w:tr>
        <w:trPr/>
        <w:tc>
          <w:tcPr>
            <w:tcW w:w="1274" w:type="dxa"/>
            <w:tcBorders>
              <w:start w:val="single" w:sz="6" w:space="0" w:color="000000"/>
            </w:tcBorders>
          </w:tcPr>
          <w:p>
            <w:pPr>
              <w:pStyle w:val="TableBody"/>
              <w:rPr>
                <w:sz w:val="18"/>
              </w:rPr>
            </w:pPr>
            <w:r>
              <w:rPr>
                <w:sz w:val="18"/>
              </w:rPr>
              <w:t>1997/2007</w:t>
            </w:r>
          </w:p>
        </w:tc>
        <w:tc>
          <w:tcPr>
            <w:tcW w:w="720" w:type="dxa"/>
            <w:tcBorders/>
          </w:tcPr>
          <w:p>
            <w:pPr>
              <w:pStyle w:val="TableBody"/>
              <w:tabs>
                <w:tab w:val="clear" w:pos="720"/>
                <w:tab w:val="decimal" w:pos="342" w:leader="none"/>
              </w:tabs>
              <w:rPr>
                <w:sz w:val="18"/>
              </w:rPr>
            </w:pPr>
            <w:r>
              <w:rPr>
                <w:sz w:val="18"/>
              </w:rPr>
              <w:t>8.8</w:t>
            </w:r>
          </w:p>
        </w:tc>
        <w:tc>
          <w:tcPr>
            <w:tcW w:w="966" w:type="dxa"/>
            <w:tcBorders/>
          </w:tcPr>
          <w:p>
            <w:pPr>
              <w:pStyle w:val="TableBody"/>
              <w:tabs>
                <w:tab w:val="clear" w:pos="720"/>
                <w:tab w:val="decimal" w:pos="342" w:leader="none"/>
              </w:tabs>
              <w:rPr>
                <w:sz w:val="18"/>
              </w:rPr>
            </w:pPr>
            <w:r>
              <w:rPr>
                <w:sz w:val="18"/>
              </w:rPr>
              <w:t>6.0</w:t>
            </w:r>
          </w:p>
        </w:tc>
        <w:tc>
          <w:tcPr>
            <w:tcW w:w="1014" w:type="dxa"/>
            <w:tcBorders/>
          </w:tcPr>
          <w:p>
            <w:pPr>
              <w:pStyle w:val="TableBody"/>
              <w:tabs>
                <w:tab w:val="clear" w:pos="720"/>
                <w:tab w:val="decimal" w:pos="342" w:leader="none"/>
              </w:tabs>
              <w:rPr>
                <w:sz w:val="18"/>
              </w:rPr>
            </w:pPr>
            <w:r>
              <w:rPr>
                <w:sz w:val="18"/>
              </w:rPr>
              <w:t>4.0</w:t>
            </w:r>
          </w:p>
        </w:tc>
        <w:tc>
          <w:tcPr>
            <w:tcW w:w="786" w:type="dxa"/>
            <w:tcBorders/>
          </w:tcPr>
          <w:p>
            <w:pPr>
              <w:pStyle w:val="TableBody"/>
              <w:tabs>
                <w:tab w:val="clear" w:pos="720"/>
                <w:tab w:val="decimal" w:pos="342" w:leader="none"/>
              </w:tabs>
              <w:rPr>
                <w:sz w:val="18"/>
              </w:rPr>
            </w:pPr>
            <w:r>
              <w:rPr>
                <w:sz w:val="18"/>
              </w:rPr>
              <w:t>5.6</w:t>
            </w:r>
          </w:p>
        </w:tc>
        <w:tc>
          <w:tcPr>
            <w:tcW w:w="834" w:type="dxa"/>
            <w:tcBorders/>
          </w:tcPr>
          <w:p>
            <w:pPr>
              <w:pStyle w:val="TableBody"/>
              <w:tabs>
                <w:tab w:val="clear" w:pos="720"/>
                <w:tab w:val="decimal" w:pos="342" w:leader="none"/>
              </w:tabs>
              <w:rPr>
                <w:sz w:val="18"/>
              </w:rPr>
            </w:pPr>
            <w:r>
              <w:rPr>
                <w:sz w:val="18"/>
              </w:rPr>
              <w:t>6.7</w:t>
            </w:r>
          </w:p>
        </w:tc>
        <w:tc>
          <w:tcPr>
            <w:tcW w:w="738" w:type="dxa"/>
            <w:tcBorders>
              <w:end w:val="single" w:sz="6" w:space="0" w:color="000000"/>
            </w:tcBorders>
          </w:tcPr>
          <w:p>
            <w:pPr>
              <w:pStyle w:val="TableBody"/>
              <w:tabs>
                <w:tab w:val="clear" w:pos="720"/>
                <w:tab w:val="decimal" w:pos="384" w:leader="none"/>
              </w:tabs>
              <w:rPr>
                <w:sz w:val="18"/>
              </w:rPr>
            </w:pPr>
            <w:r>
              <w:rPr>
                <w:sz w:val="18"/>
              </w:rPr>
              <w:t>5.0</w:t>
            </w:r>
          </w:p>
        </w:tc>
      </w:tr>
      <w:tr>
        <w:trPr/>
        <w:tc>
          <w:tcPr>
            <w:tcW w:w="1994" w:type="dxa"/>
            <w:gridSpan w:val="2"/>
            <w:tcBorders>
              <w:start w:val="single" w:sz="6" w:space="0" w:color="000000"/>
            </w:tcBorders>
          </w:tcPr>
          <w:p>
            <w:pPr>
              <w:pStyle w:val="TableBody"/>
              <w:tabs>
                <w:tab w:val="clear" w:pos="720"/>
                <w:tab w:val="decimal" w:pos="342" w:leader="none"/>
              </w:tabs>
              <w:snapToGrid w:val="false"/>
              <w:rPr>
                <w:sz w:val="12"/>
              </w:rPr>
            </w:pPr>
            <w:r>
              <w:rPr>
                <w:sz w:val="12"/>
              </w:rPr>
            </w:r>
          </w:p>
        </w:tc>
        <w:tc>
          <w:tcPr>
            <w:tcW w:w="966" w:type="dxa"/>
            <w:tcBorders/>
          </w:tcPr>
          <w:p>
            <w:pPr>
              <w:pStyle w:val="TableBody"/>
              <w:tabs>
                <w:tab w:val="clear" w:pos="720"/>
                <w:tab w:val="decimal" w:pos="342" w:leader="none"/>
              </w:tabs>
              <w:snapToGrid w:val="false"/>
              <w:rPr>
                <w:sz w:val="12"/>
              </w:rPr>
            </w:pPr>
            <w:r>
              <w:rPr>
                <w:sz w:val="12"/>
              </w:rPr>
            </w:r>
          </w:p>
        </w:tc>
        <w:tc>
          <w:tcPr>
            <w:tcW w:w="1014" w:type="dxa"/>
            <w:tcBorders/>
          </w:tcPr>
          <w:p>
            <w:pPr>
              <w:pStyle w:val="TableBody"/>
              <w:tabs>
                <w:tab w:val="clear" w:pos="720"/>
                <w:tab w:val="decimal" w:pos="342" w:leader="none"/>
              </w:tabs>
              <w:snapToGrid w:val="false"/>
              <w:rPr>
                <w:sz w:val="12"/>
              </w:rPr>
            </w:pPr>
            <w:r>
              <w:rPr>
                <w:sz w:val="12"/>
              </w:rPr>
            </w:r>
          </w:p>
        </w:tc>
        <w:tc>
          <w:tcPr>
            <w:tcW w:w="786" w:type="dxa"/>
            <w:tcBorders/>
          </w:tcPr>
          <w:p>
            <w:pPr>
              <w:pStyle w:val="TableBody"/>
              <w:tabs>
                <w:tab w:val="clear" w:pos="720"/>
                <w:tab w:val="decimal" w:pos="342" w:leader="none"/>
              </w:tabs>
              <w:snapToGrid w:val="false"/>
              <w:rPr>
                <w:sz w:val="12"/>
              </w:rPr>
            </w:pPr>
            <w:r>
              <w:rPr>
                <w:sz w:val="12"/>
              </w:rPr>
            </w:r>
          </w:p>
        </w:tc>
        <w:tc>
          <w:tcPr>
            <w:tcW w:w="834" w:type="dxa"/>
            <w:tcBorders/>
          </w:tcPr>
          <w:p>
            <w:pPr>
              <w:pStyle w:val="TableBody"/>
              <w:tabs>
                <w:tab w:val="clear" w:pos="720"/>
                <w:tab w:val="decimal" w:pos="342" w:leader="none"/>
              </w:tabs>
              <w:snapToGrid w:val="false"/>
              <w:rPr>
                <w:sz w:val="12"/>
              </w:rPr>
            </w:pPr>
            <w:r>
              <w:rPr>
                <w:sz w:val="12"/>
              </w:rPr>
            </w:r>
          </w:p>
        </w:tc>
        <w:tc>
          <w:tcPr>
            <w:tcW w:w="738" w:type="dxa"/>
            <w:tcBorders>
              <w:end w:val="single" w:sz="6" w:space="0" w:color="000000"/>
            </w:tcBorders>
          </w:tcPr>
          <w:p>
            <w:pPr>
              <w:pStyle w:val="TableBody"/>
              <w:tabs>
                <w:tab w:val="clear" w:pos="720"/>
                <w:tab w:val="decimal" w:pos="384" w:leader="none"/>
              </w:tabs>
              <w:snapToGrid w:val="false"/>
              <w:rPr>
                <w:sz w:val="12"/>
              </w:rPr>
            </w:pPr>
            <w:r>
              <w:rPr>
                <w:sz w:val="12"/>
              </w:rPr>
            </w:r>
          </w:p>
        </w:tc>
      </w:tr>
      <w:tr>
        <w:trPr/>
        <w:tc>
          <w:tcPr>
            <w:tcW w:w="1994" w:type="dxa"/>
            <w:gridSpan w:val="2"/>
            <w:tcBorders>
              <w:start w:val="single" w:sz="6" w:space="0" w:color="000000"/>
            </w:tcBorders>
          </w:tcPr>
          <w:p>
            <w:pPr>
              <w:pStyle w:val="TableBody"/>
              <w:tabs>
                <w:tab w:val="clear" w:pos="720"/>
                <w:tab w:val="decimal" w:pos="342" w:leader="none"/>
              </w:tabs>
              <w:rPr>
                <w:sz w:val="18"/>
              </w:rPr>
            </w:pPr>
            <w:r>
              <w:rPr>
                <w:sz w:val="18"/>
              </w:rPr>
              <w:t>Share Structure (%)</w:t>
            </w:r>
          </w:p>
        </w:tc>
        <w:tc>
          <w:tcPr>
            <w:tcW w:w="966" w:type="dxa"/>
            <w:tcBorders/>
          </w:tcPr>
          <w:p>
            <w:pPr>
              <w:pStyle w:val="TableBody"/>
              <w:tabs>
                <w:tab w:val="clear" w:pos="720"/>
                <w:tab w:val="decimal" w:pos="342" w:leader="none"/>
              </w:tabs>
              <w:snapToGrid w:val="false"/>
              <w:rPr>
                <w:sz w:val="18"/>
              </w:rPr>
            </w:pPr>
            <w:r>
              <w:rPr>
                <w:sz w:val="18"/>
              </w:rPr>
            </w:r>
          </w:p>
        </w:tc>
        <w:tc>
          <w:tcPr>
            <w:tcW w:w="1014" w:type="dxa"/>
            <w:tcBorders/>
          </w:tcPr>
          <w:p>
            <w:pPr>
              <w:pStyle w:val="TableBody"/>
              <w:tabs>
                <w:tab w:val="clear" w:pos="720"/>
                <w:tab w:val="decimal" w:pos="342" w:leader="none"/>
              </w:tabs>
              <w:snapToGrid w:val="false"/>
              <w:rPr>
                <w:sz w:val="18"/>
              </w:rPr>
            </w:pPr>
            <w:r>
              <w:rPr>
                <w:sz w:val="18"/>
              </w:rPr>
            </w:r>
          </w:p>
        </w:tc>
        <w:tc>
          <w:tcPr>
            <w:tcW w:w="786" w:type="dxa"/>
            <w:tcBorders/>
          </w:tcPr>
          <w:p>
            <w:pPr>
              <w:pStyle w:val="TableBody"/>
              <w:tabs>
                <w:tab w:val="clear" w:pos="720"/>
                <w:tab w:val="decimal" w:pos="342" w:leader="none"/>
              </w:tabs>
              <w:snapToGrid w:val="false"/>
              <w:rPr>
                <w:sz w:val="18"/>
              </w:rPr>
            </w:pPr>
            <w:r>
              <w:rPr>
                <w:sz w:val="18"/>
              </w:rPr>
            </w:r>
          </w:p>
        </w:tc>
        <w:tc>
          <w:tcPr>
            <w:tcW w:w="834" w:type="dxa"/>
            <w:tcBorders/>
          </w:tcPr>
          <w:p>
            <w:pPr>
              <w:pStyle w:val="TableBody"/>
              <w:tabs>
                <w:tab w:val="clear" w:pos="720"/>
                <w:tab w:val="decimal" w:pos="342" w:leader="none"/>
              </w:tabs>
              <w:snapToGrid w:val="false"/>
              <w:rPr>
                <w:sz w:val="18"/>
              </w:rPr>
            </w:pPr>
            <w:r>
              <w:rPr>
                <w:sz w:val="18"/>
              </w:rPr>
            </w:r>
          </w:p>
        </w:tc>
        <w:tc>
          <w:tcPr>
            <w:tcW w:w="738" w:type="dxa"/>
            <w:tcBorders>
              <w:end w:val="single" w:sz="6" w:space="0" w:color="000000"/>
            </w:tcBorders>
          </w:tcPr>
          <w:p>
            <w:pPr>
              <w:pStyle w:val="TableBody"/>
              <w:tabs>
                <w:tab w:val="clear" w:pos="720"/>
                <w:tab w:val="decimal" w:pos="384" w:leader="none"/>
              </w:tabs>
              <w:snapToGrid w:val="false"/>
              <w:rPr>
                <w:sz w:val="18"/>
              </w:rPr>
            </w:pPr>
            <w:r>
              <w:rPr>
                <w:sz w:val="18"/>
              </w:rPr>
            </w:r>
          </w:p>
        </w:tc>
      </w:tr>
      <w:tr>
        <w:trPr/>
        <w:tc>
          <w:tcPr>
            <w:tcW w:w="1274" w:type="dxa"/>
            <w:tcBorders>
              <w:start w:val="single" w:sz="6" w:space="0" w:color="000000"/>
            </w:tcBorders>
          </w:tcPr>
          <w:p>
            <w:pPr>
              <w:pStyle w:val="TableBody"/>
              <w:rPr>
                <w:sz w:val="18"/>
              </w:rPr>
            </w:pPr>
            <w:r>
              <w:rPr>
                <w:sz w:val="18"/>
              </w:rPr>
              <w:t>1997</w:t>
            </w:r>
          </w:p>
        </w:tc>
        <w:tc>
          <w:tcPr>
            <w:tcW w:w="720" w:type="dxa"/>
            <w:tcBorders/>
          </w:tcPr>
          <w:p>
            <w:pPr>
              <w:pStyle w:val="TableBody"/>
              <w:tabs>
                <w:tab w:val="clear" w:pos="720"/>
                <w:tab w:val="decimal" w:pos="342" w:leader="none"/>
              </w:tabs>
              <w:rPr>
                <w:sz w:val="18"/>
              </w:rPr>
            </w:pPr>
            <w:r>
              <w:rPr>
                <w:sz w:val="18"/>
              </w:rPr>
              <w:t>5.2</w:t>
            </w:r>
          </w:p>
        </w:tc>
        <w:tc>
          <w:tcPr>
            <w:tcW w:w="966" w:type="dxa"/>
            <w:tcBorders/>
          </w:tcPr>
          <w:p>
            <w:pPr>
              <w:pStyle w:val="TableBody"/>
              <w:tabs>
                <w:tab w:val="clear" w:pos="720"/>
                <w:tab w:val="decimal" w:pos="342" w:leader="none"/>
              </w:tabs>
              <w:rPr>
                <w:sz w:val="18"/>
              </w:rPr>
            </w:pPr>
            <w:r>
              <w:rPr>
                <w:sz w:val="18"/>
              </w:rPr>
              <w:t>15.9</w:t>
            </w:r>
          </w:p>
        </w:tc>
        <w:tc>
          <w:tcPr>
            <w:tcW w:w="1014" w:type="dxa"/>
            <w:tcBorders/>
          </w:tcPr>
          <w:p>
            <w:pPr>
              <w:pStyle w:val="TableBody"/>
              <w:tabs>
                <w:tab w:val="clear" w:pos="720"/>
                <w:tab w:val="decimal" w:pos="342" w:leader="none"/>
              </w:tabs>
              <w:rPr>
                <w:sz w:val="18"/>
              </w:rPr>
            </w:pPr>
            <w:r>
              <w:rPr>
                <w:sz w:val="18"/>
              </w:rPr>
              <w:t>58.5</w:t>
            </w:r>
          </w:p>
        </w:tc>
        <w:tc>
          <w:tcPr>
            <w:tcW w:w="786" w:type="dxa"/>
            <w:tcBorders/>
          </w:tcPr>
          <w:p>
            <w:pPr>
              <w:pStyle w:val="TableBody"/>
              <w:tabs>
                <w:tab w:val="clear" w:pos="720"/>
                <w:tab w:val="decimal" w:pos="342" w:leader="none"/>
              </w:tabs>
              <w:rPr>
                <w:sz w:val="18"/>
              </w:rPr>
            </w:pPr>
            <w:r>
              <w:rPr>
                <w:sz w:val="18"/>
              </w:rPr>
              <w:t>15.4</w:t>
            </w:r>
          </w:p>
        </w:tc>
        <w:tc>
          <w:tcPr>
            <w:tcW w:w="834" w:type="dxa"/>
            <w:tcBorders/>
          </w:tcPr>
          <w:p>
            <w:pPr>
              <w:pStyle w:val="TableBody"/>
              <w:tabs>
                <w:tab w:val="clear" w:pos="720"/>
                <w:tab w:val="decimal" w:pos="342" w:leader="none"/>
              </w:tabs>
              <w:rPr>
                <w:sz w:val="18"/>
              </w:rPr>
            </w:pPr>
            <w:r>
              <w:rPr>
                <w:sz w:val="18"/>
              </w:rPr>
              <w:t>5.0</w:t>
            </w:r>
          </w:p>
        </w:tc>
        <w:tc>
          <w:tcPr>
            <w:tcW w:w="738" w:type="dxa"/>
            <w:tcBorders>
              <w:end w:val="single" w:sz="6" w:space="0" w:color="000000"/>
            </w:tcBorders>
          </w:tcPr>
          <w:p>
            <w:pPr>
              <w:pStyle w:val="TableBody"/>
              <w:tabs>
                <w:tab w:val="clear" w:pos="720"/>
                <w:tab w:val="decimal" w:pos="384" w:leader="none"/>
              </w:tabs>
              <w:rPr>
                <w:sz w:val="18"/>
              </w:rPr>
            </w:pPr>
            <w:r>
              <w:rPr>
                <w:sz w:val="18"/>
              </w:rPr>
              <w:t>100.0</w:t>
            </w:r>
          </w:p>
        </w:tc>
      </w:tr>
      <w:tr>
        <w:trPr/>
        <w:tc>
          <w:tcPr>
            <w:tcW w:w="1274" w:type="dxa"/>
            <w:tcBorders>
              <w:start w:val="single" w:sz="6" w:space="0" w:color="000000"/>
            </w:tcBorders>
          </w:tcPr>
          <w:p>
            <w:pPr>
              <w:pStyle w:val="TableBody"/>
              <w:rPr>
                <w:sz w:val="18"/>
              </w:rPr>
            </w:pPr>
            <w:r>
              <w:rPr>
                <w:sz w:val="18"/>
              </w:rPr>
              <w:t>2002</w:t>
            </w:r>
          </w:p>
        </w:tc>
        <w:tc>
          <w:tcPr>
            <w:tcW w:w="720" w:type="dxa"/>
            <w:tcBorders/>
          </w:tcPr>
          <w:p>
            <w:pPr>
              <w:pStyle w:val="TableBody"/>
              <w:tabs>
                <w:tab w:val="clear" w:pos="720"/>
                <w:tab w:val="decimal" w:pos="342" w:leader="none"/>
              </w:tabs>
              <w:rPr>
                <w:sz w:val="18"/>
              </w:rPr>
            </w:pPr>
            <w:r>
              <w:rPr>
                <w:sz w:val="18"/>
              </w:rPr>
              <w:t>6.3</w:t>
            </w:r>
          </w:p>
        </w:tc>
        <w:tc>
          <w:tcPr>
            <w:tcW w:w="966" w:type="dxa"/>
            <w:tcBorders/>
          </w:tcPr>
          <w:p>
            <w:pPr>
              <w:pStyle w:val="TableBody"/>
              <w:tabs>
                <w:tab w:val="clear" w:pos="720"/>
                <w:tab w:val="decimal" w:pos="342" w:leader="none"/>
              </w:tabs>
              <w:rPr>
                <w:sz w:val="18"/>
              </w:rPr>
            </w:pPr>
            <w:r>
              <w:rPr>
                <w:sz w:val="18"/>
              </w:rPr>
              <w:t>16.9</w:t>
            </w:r>
          </w:p>
        </w:tc>
        <w:tc>
          <w:tcPr>
            <w:tcW w:w="1014" w:type="dxa"/>
            <w:tcBorders/>
          </w:tcPr>
          <w:p>
            <w:pPr>
              <w:pStyle w:val="TableBody"/>
              <w:tabs>
                <w:tab w:val="clear" w:pos="720"/>
                <w:tab w:val="decimal" w:pos="342" w:leader="none"/>
              </w:tabs>
              <w:rPr>
                <w:sz w:val="18"/>
              </w:rPr>
            </w:pPr>
            <w:r>
              <w:rPr>
                <w:sz w:val="18"/>
              </w:rPr>
              <w:t>55.1</w:t>
            </w:r>
          </w:p>
        </w:tc>
        <w:tc>
          <w:tcPr>
            <w:tcW w:w="786" w:type="dxa"/>
            <w:tcBorders/>
          </w:tcPr>
          <w:p>
            <w:pPr>
              <w:pStyle w:val="TableBody"/>
              <w:tabs>
                <w:tab w:val="clear" w:pos="720"/>
                <w:tab w:val="decimal" w:pos="342" w:leader="none"/>
              </w:tabs>
              <w:rPr>
                <w:sz w:val="18"/>
              </w:rPr>
            </w:pPr>
            <w:r>
              <w:rPr>
                <w:sz w:val="18"/>
              </w:rPr>
              <w:t>16.0</w:t>
            </w:r>
          </w:p>
        </w:tc>
        <w:tc>
          <w:tcPr>
            <w:tcW w:w="834" w:type="dxa"/>
            <w:tcBorders/>
          </w:tcPr>
          <w:p>
            <w:pPr>
              <w:pStyle w:val="TableBody"/>
              <w:tabs>
                <w:tab w:val="clear" w:pos="720"/>
                <w:tab w:val="decimal" w:pos="342" w:leader="none"/>
              </w:tabs>
              <w:rPr>
                <w:sz w:val="18"/>
              </w:rPr>
            </w:pPr>
            <w:r>
              <w:rPr>
                <w:sz w:val="18"/>
              </w:rPr>
              <w:t>5.7</w:t>
            </w:r>
          </w:p>
        </w:tc>
        <w:tc>
          <w:tcPr>
            <w:tcW w:w="738" w:type="dxa"/>
            <w:tcBorders>
              <w:end w:val="single" w:sz="6" w:space="0" w:color="000000"/>
            </w:tcBorders>
          </w:tcPr>
          <w:p>
            <w:pPr>
              <w:pStyle w:val="TableBody"/>
              <w:tabs>
                <w:tab w:val="clear" w:pos="720"/>
                <w:tab w:val="decimal" w:pos="384" w:leader="none"/>
              </w:tabs>
              <w:rPr>
                <w:sz w:val="18"/>
              </w:rPr>
            </w:pPr>
            <w:r>
              <w:rPr>
                <w:sz w:val="18"/>
              </w:rPr>
              <w:t>100.0</w:t>
            </w:r>
          </w:p>
        </w:tc>
      </w:tr>
      <w:tr>
        <w:trPr/>
        <w:tc>
          <w:tcPr>
            <w:tcW w:w="1274" w:type="dxa"/>
            <w:tcBorders>
              <w:start w:val="single" w:sz="6" w:space="0" w:color="000000"/>
            </w:tcBorders>
          </w:tcPr>
          <w:p>
            <w:pPr>
              <w:pStyle w:val="TableBody"/>
              <w:rPr>
                <w:sz w:val="18"/>
              </w:rPr>
            </w:pPr>
            <w:r>
              <w:rPr>
                <w:sz w:val="18"/>
              </w:rPr>
              <w:t>2007</w:t>
            </w:r>
          </w:p>
        </w:tc>
        <w:tc>
          <w:tcPr>
            <w:tcW w:w="720" w:type="dxa"/>
            <w:tcBorders/>
          </w:tcPr>
          <w:p>
            <w:pPr>
              <w:pStyle w:val="TableBody"/>
              <w:tabs>
                <w:tab w:val="clear" w:pos="720"/>
                <w:tab w:val="decimal" w:pos="342" w:leader="none"/>
              </w:tabs>
              <w:rPr>
                <w:sz w:val="18"/>
              </w:rPr>
            </w:pPr>
            <w:r>
              <w:rPr>
                <w:sz w:val="18"/>
              </w:rPr>
              <w:t>7.5</w:t>
            </w:r>
          </w:p>
        </w:tc>
        <w:tc>
          <w:tcPr>
            <w:tcW w:w="966" w:type="dxa"/>
            <w:tcBorders/>
          </w:tcPr>
          <w:p>
            <w:pPr>
              <w:pStyle w:val="TableBody"/>
              <w:tabs>
                <w:tab w:val="clear" w:pos="720"/>
                <w:tab w:val="decimal" w:pos="342" w:leader="none"/>
              </w:tabs>
              <w:rPr>
                <w:sz w:val="18"/>
              </w:rPr>
            </w:pPr>
            <w:r>
              <w:rPr>
                <w:sz w:val="18"/>
              </w:rPr>
              <w:t>17.4</w:t>
            </w:r>
          </w:p>
        </w:tc>
        <w:tc>
          <w:tcPr>
            <w:tcW w:w="1014" w:type="dxa"/>
            <w:tcBorders/>
          </w:tcPr>
          <w:p>
            <w:pPr>
              <w:pStyle w:val="TableBody"/>
              <w:tabs>
                <w:tab w:val="clear" w:pos="720"/>
                <w:tab w:val="decimal" w:pos="342" w:leader="none"/>
              </w:tabs>
              <w:rPr>
                <w:sz w:val="18"/>
              </w:rPr>
            </w:pPr>
            <w:r>
              <w:rPr>
                <w:sz w:val="18"/>
              </w:rPr>
              <w:t>53.0</w:t>
            </w:r>
          </w:p>
        </w:tc>
        <w:tc>
          <w:tcPr>
            <w:tcW w:w="786" w:type="dxa"/>
            <w:tcBorders/>
          </w:tcPr>
          <w:p>
            <w:pPr>
              <w:pStyle w:val="TableBody"/>
              <w:tabs>
                <w:tab w:val="clear" w:pos="720"/>
                <w:tab w:val="decimal" w:pos="342" w:leader="none"/>
              </w:tabs>
              <w:rPr>
                <w:sz w:val="18"/>
              </w:rPr>
            </w:pPr>
            <w:r>
              <w:rPr>
                <w:sz w:val="18"/>
              </w:rPr>
              <w:t>16.2</w:t>
            </w:r>
          </w:p>
        </w:tc>
        <w:tc>
          <w:tcPr>
            <w:tcW w:w="834" w:type="dxa"/>
            <w:tcBorders/>
          </w:tcPr>
          <w:p>
            <w:pPr>
              <w:pStyle w:val="TableBody"/>
              <w:tabs>
                <w:tab w:val="clear" w:pos="720"/>
                <w:tab w:val="decimal" w:pos="342" w:leader="none"/>
              </w:tabs>
              <w:rPr>
                <w:sz w:val="18"/>
              </w:rPr>
            </w:pPr>
            <w:r>
              <w:rPr>
                <w:sz w:val="18"/>
              </w:rPr>
              <w:t>5.9</w:t>
            </w:r>
          </w:p>
        </w:tc>
        <w:tc>
          <w:tcPr>
            <w:tcW w:w="738" w:type="dxa"/>
            <w:tcBorders>
              <w:end w:val="single" w:sz="6" w:space="0" w:color="000000"/>
            </w:tcBorders>
          </w:tcPr>
          <w:p>
            <w:pPr>
              <w:pStyle w:val="TableBody"/>
              <w:tabs>
                <w:tab w:val="clear" w:pos="720"/>
                <w:tab w:val="decimal" w:pos="384" w:leader="none"/>
              </w:tabs>
              <w:rPr>
                <w:sz w:val="18"/>
              </w:rPr>
            </w:pPr>
            <w:r>
              <w:rPr>
                <w:sz w:val="18"/>
              </w:rPr>
              <w:t>100.0</w:t>
            </w:r>
          </w:p>
        </w:tc>
      </w:tr>
      <w:tr>
        <w:trPr/>
        <w:tc>
          <w:tcPr>
            <w:tcW w:w="6332" w:type="dxa"/>
            <w:gridSpan w:val="7"/>
            <w:tcBorders>
              <w:top w:val="single" w:sz="6" w:space="0" w:color="000000"/>
            </w:tcBorders>
          </w:tcPr>
          <w:p>
            <w:pPr>
              <w:pStyle w:val="TableBody"/>
              <w:rPr>
                <w:sz w:val="14"/>
              </w:rPr>
            </w:pPr>
            <w:r>
              <w:rPr>
                <w:sz w:val="14"/>
              </w:rPr>
              <w:t>Source:  Eletrobras’ 1998-2007 plan</w:t>
            </w:r>
          </w:p>
        </w:tc>
      </w:tr>
    </w:tbl>
    <w:p>
      <w:pPr>
        <w:pStyle w:val="BLKmed1st1"/>
        <w:spacing w:before="0" w:after="0"/>
        <w:rPr/>
      </w:pPr>
      <w:r>
        <w:rPr/>
      </w:r>
    </w:p>
    <w:p>
      <w:pPr>
        <w:pStyle w:val="Normal"/>
        <w:rPr/>
      </w:pPr>
      <w:r>
        <w:rPr/>
        <w:t>It can be seen from the above that the Southeast Region is substantially the largest as well as the slowest growing region.  This is due to the presence in the region of Brazil's most heavily industrialised and developed areas.  Elektro's concession areas, while geographically located in the Southeast Region, is demographically much more similar to the South Region.</w:t>
      </w:r>
    </w:p>
    <w:p>
      <w:pPr>
        <w:pStyle w:val="Normal"/>
        <w:rPr/>
      </w:pPr>
      <w:r>
        <w:rPr/>
        <w:t>The Midwest is also experiencing extremely high growth.  In particular, Mato Grosso has been one of Brazil’s fastest growing states over the last 10 years as measured by GDP and has significant potential for continued growth in the future.  According to independent sources, demand for electric power in Mato Grosso State will increase at a compound annual growth rate of 7.9% between 1998 and 2007.  In 1998, electricity consumption in Mato Grosso was 2,702 GWh and peak system demand was approximately 590 MW.</w:t>
      </w:r>
    </w:p>
    <w:p>
      <w:pPr>
        <w:pStyle w:val="Normal"/>
        <w:rPr/>
      </w:pPr>
      <w:r>
        <w:rPr/>
        <w:t>Enron’s power generation business is therefore ideally located to benefit from the strong demand growth in these two regions.</w:t>
      </w:r>
    </w:p>
    <w:p>
      <w:pPr>
        <w:pStyle w:val="Normal"/>
        <w:rPr/>
      </w:pPr>
      <w:r>
        <w:rPr/>
        <w:t>As evidence of the rapidly growing electrical demand in Brazil and the State of Mato Grosso, Eletrobras and the Brazilian Government have recently requested that the capacity available in Phase I (the diesel phase) for Cuiabá I be increased in June 2000 from 150 MW to 300 MW.  Enron is reviewing the ability of Cuiabá I to meet this request in addition to negotiating with the authorities the appropriate terms and conditions.</w:t>
      </w:r>
    </w:p>
    <w:p>
      <w:pPr>
        <w:pStyle w:val="Heading4"/>
        <w:ind w:hanging="0" w:start="0"/>
        <w:rPr/>
      </w:pPr>
      <w:r>
        <w:rPr/>
        <w:t>Supply</w:t>
      </w:r>
    </w:p>
    <w:p>
      <w:pPr>
        <w:pStyle w:val="Normal"/>
        <w:rPr/>
      </w:pPr>
      <w:r>
        <w:rPr/>
        <w:t>Following several years of under-investment and as a result of the continuing economic recovery, the Brazilian electricity sector is now facing the possibility of electricity shortages in several regions of the country.  In part, this risk is also the result of the country’s 95% dependency on hydroelectricity and of recent below average rainfall, especially in the Northeast Region.</w:t>
      </w:r>
    </w:p>
    <w:p>
      <w:pPr>
        <w:pStyle w:val="Normal"/>
        <w:rPr/>
      </w:pPr>
      <w:r>
        <w:rPr/>
        <w:t>The Brazilian Government has therefore adopted an urgent policy to encourage greater private sector involvement in the electricity sector and to reduce the sector’s dependence on hydroelectricity.  Other super-regional political and economic integration initiatives have also played a major role.  These factors, along with the availability of substantial natural gas reserves in Bolivia and Argentina, were the primary drivers behind the development of BBPL and other regional pipeline projects which will deliver natural gas to key demand centers in Brazil.  The initiation of new, gas-fired power generation projects, however, has suffered repeated delays as a result of:</w:t>
      </w:r>
    </w:p>
    <w:p>
      <w:pPr>
        <w:pStyle w:val="Bmed1st1"/>
        <w:numPr>
          <w:ilvl w:val="0"/>
          <w:numId w:val="3"/>
        </w:numPr>
        <w:ind w:hanging="0" w:start="0"/>
        <w:rPr/>
      </w:pPr>
      <w:r>
        <w:rPr/>
        <w:t>Issues associated with the pass-through of foreign exchange risks to off-takers;</w:t>
      </w:r>
    </w:p>
    <w:p>
      <w:pPr>
        <w:pStyle w:val="Bmed1st1"/>
        <w:numPr>
          <w:ilvl w:val="0"/>
          <w:numId w:val="3"/>
        </w:numPr>
        <w:ind w:hanging="0" w:start="0"/>
        <w:rPr/>
      </w:pPr>
      <w:r>
        <w:rPr/>
        <w:t>Uncertainty surrounding the operation and regulation of the wholesale electricity market in Brazil;</w:t>
      </w:r>
    </w:p>
    <w:p>
      <w:pPr>
        <w:pStyle w:val="Bmed1st1"/>
        <w:numPr>
          <w:ilvl w:val="0"/>
          <w:numId w:val="3"/>
        </w:numPr>
        <w:ind w:hanging="0" w:start="0"/>
        <w:rPr/>
      </w:pPr>
      <w:r>
        <w:rPr/>
        <w:t>The relatively high price of imported natural gas; and</w:t>
      </w:r>
    </w:p>
    <w:p>
      <w:pPr>
        <w:pStyle w:val="Bmed1st1"/>
        <w:numPr>
          <w:ilvl w:val="0"/>
          <w:numId w:val="3"/>
        </w:numPr>
        <w:ind w:hanging="0" w:start="0"/>
        <w:rPr/>
      </w:pPr>
      <w:r>
        <w:rPr/>
        <w:t>The recent emerging markets financial crisis.</w:t>
      </w:r>
    </w:p>
    <w:p>
      <w:pPr>
        <w:pStyle w:val="Normal"/>
        <w:rPr/>
      </w:pPr>
      <w:r>
        <w:rPr/>
        <w:t>In order to overcome these and other challenges, the Brazilian Government assigned “Emergency Plant” status to 49 new power generation projects.  This status affords:</w:t>
      </w:r>
    </w:p>
    <w:p>
      <w:pPr>
        <w:pStyle w:val="Bmed1st1"/>
        <w:numPr>
          <w:ilvl w:val="0"/>
          <w:numId w:val="3"/>
        </w:numPr>
        <w:ind w:hanging="0" w:start="0"/>
        <w:rPr/>
      </w:pPr>
      <w:r>
        <w:rPr/>
        <w:t>Access to favorably priced natural gas (blended cost of domestic and imported gas);</w:t>
      </w:r>
    </w:p>
    <w:p>
      <w:pPr>
        <w:pStyle w:val="Bmed1st1"/>
        <w:numPr>
          <w:ilvl w:val="0"/>
          <w:numId w:val="3"/>
        </w:numPr>
        <w:ind w:hanging="0" w:start="0"/>
        <w:rPr/>
      </w:pPr>
      <w:r>
        <w:rPr/>
        <w:t xml:space="preserve">Preferential dispatch status; </w:t>
      </w:r>
    </w:p>
    <w:p>
      <w:pPr>
        <w:pStyle w:val="Bmed1st1"/>
        <w:numPr>
          <w:ilvl w:val="0"/>
          <w:numId w:val="3"/>
        </w:numPr>
        <w:ind w:hanging="0" w:start="0"/>
        <w:rPr/>
      </w:pPr>
      <w:r>
        <w:rPr/>
        <w:t>Subject to certain limitations, pass-through of FX risks; and</w:t>
      </w:r>
    </w:p>
    <w:p>
      <w:pPr>
        <w:pStyle w:val="Bmed1st1"/>
        <w:numPr>
          <w:ilvl w:val="0"/>
          <w:numId w:val="3"/>
        </w:numPr>
        <w:ind w:hanging="0" w:start="0"/>
        <w:rPr/>
      </w:pPr>
      <w:r>
        <w:rPr/>
        <w:t>Expedited procedures for obtaining the required permits and approvals.</w:t>
      </w:r>
    </w:p>
    <w:p>
      <w:pPr>
        <w:pStyle w:val="Normal"/>
        <w:rPr/>
      </w:pPr>
      <w:r>
        <w:rPr/>
        <w:t>The development of all new gas-fired power generation projects, however, depends crucially on:</w:t>
      </w:r>
    </w:p>
    <w:p>
      <w:pPr>
        <w:pStyle w:val="Bmed1st1"/>
        <w:numPr>
          <w:ilvl w:val="0"/>
          <w:numId w:val="3"/>
        </w:numPr>
        <w:ind w:hanging="0" w:start="0"/>
        <w:rPr/>
      </w:pPr>
      <w:r>
        <w:rPr/>
        <w:t>Access to competitive sources of natural gas and associated transportation capacity;</w:t>
      </w:r>
    </w:p>
    <w:p>
      <w:pPr>
        <w:pStyle w:val="Bmed1st1"/>
        <w:numPr>
          <w:ilvl w:val="0"/>
          <w:numId w:val="3"/>
        </w:numPr>
        <w:ind w:hanging="0" w:start="0"/>
        <w:rPr/>
      </w:pPr>
      <w:r>
        <w:rPr/>
        <w:t>The ability to obtain the required permits and approvals; and</w:t>
      </w:r>
    </w:p>
    <w:p>
      <w:pPr>
        <w:pStyle w:val="Bmed1st1"/>
        <w:numPr>
          <w:ilvl w:val="0"/>
          <w:numId w:val="3"/>
        </w:numPr>
        <w:ind w:hanging="0" w:start="0"/>
        <w:rPr>
          <w:b/>
        </w:rPr>
      </w:pPr>
      <w:r>
        <w:rPr/>
        <w:t>Access to long-term contracts in view of the non-existence of a transparent wholesale market for electricity.</w:t>
      </w:r>
    </w:p>
    <w:p>
      <w:pPr>
        <w:pStyle w:val="BLKmed1st1"/>
        <w:rPr/>
      </w:pPr>
      <w:r>
        <w:rPr/>
        <w:t>It is important to note the attractions of the locations of Enron’s power generation portfolio.  The state of Rio de Janeiro offers access to low cost and competitive domestic gas and extremely low transmission charges in light of its status as a substantial power importing region.  Likewise, Mato Grosso depends almost entirely on power imports from distant capacity in São Paulo and Minas Gerais, and is experiencing strong growth in electricity demand.</w:t>
      </w:r>
    </w:p>
    <w:p>
      <w:pPr>
        <w:pStyle w:val="Heading3"/>
        <w:ind w:hanging="0" w:start="0"/>
        <w:rPr/>
      </w:pPr>
      <w:r>
        <w:rPr/>
        <w:t>Key Investment Considerations</w:t>
      </w:r>
    </w:p>
    <w:p>
      <w:pPr>
        <w:pStyle w:val="Heading4"/>
        <w:ind w:hanging="0" w:start="0"/>
        <w:rPr/>
      </w:pPr>
      <w:r>
        <w:rPr/>
        <w:t>Cuiabá</w:t>
      </w:r>
    </w:p>
    <w:p>
      <w:pPr>
        <w:pStyle w:val="Heading5"/>
        <w:numPr>
          <w:ilvl w:val="4"/>
          <w:numId w:val="5"/>
        </w:numPr>
        <w:ind w:hanging="0" w:start="0"/>
        <w:rPr/>
      </w:pPr>
      <w:r>
        <w:rPr/>
        <w:t>First Mover Positioning in Pipelines and Power Generation</w:t>
      </w:r>
    </w:p>
    <w:p>
      <w:pPr>
        <w:pStyle w:val="Normal"/>
        <w:rPr/>
      </w:pPr>
      <w:r>
        <w:rPr/>
        <w:t>The completion of the Power Plant constitutes an “early market” presence in Brazil’s rapidly deregulating and increasingly privately owned energy sector.  The pipeline is the first privately controlled and financed pipeline in Brazil and is the first conduit for importing gas into the country not controlled by Petrobras as well as representing the first time that Argentine natural gas has been imported to Brazil via Bolivia.  Enron’s status as a first mover with an integrated asset portfolio places it in a unique position to play a leading role in the growth of the thermal generation sector in the context of the highly complex Brazilian power generation market</w:t>
      </w:r>
    </w:p>
    <w:p>
      <w:pPr>
        <w:pStyle w:val="Heading5"/>
        <w:numPr>
          <w:ilvl w:val="4"/>
          <w:numId w:val="5"/>
        </w:numPr>
        <w:ind w:hanging="0" w:start="0"/>
        <w:rPr/>
      </w:pPr>
      <w:r>
        <w:rPr/>
        <w:t>Substantial Scope for Expansion</w:t>
      </w:r>
    </w:p>
    <w:p>
      <w:pPr>
        <w:pStyle w:val="Normal"/>
        <w:rPr>
          <w:i/>
          <w:i/>
        </w:rPr>
      </w:pPr>
      <w:r>
        <w:rPr/>
        <w:t xml:space="preserve">The infrastructure built to support the Power Plant is sufficient to support 960 MW of additional generation capacity.  For example, without considering the potential for looping, only 30% of the Project Pipeline’s capacity is used in connection with the Power Plant.  Enron has already commenced the process of obtaining </w:t>
      </w:r>
      <w:r>
        <w:rPr>
          <w:lang w:val="pt-BR"/>
        </w:rPr>
        <w:t xml:space="preserve">permits from Brazilian regulators for Cuiabá II (480 MW) which was recently given Emergency Plant status. </w:t>
      </w:r>
    </w:p>
    <w:p>
      <w:pPr>
        <w:pStyle w:val="Heading5"/>
        <w:numPr>
          <w:ilvl w:val="4"/>
          <w:numId w:val="5"/>
        </w:numPr>
        <w:ind w:hanging="0" w:start="0"/>
        <w:rPr/>
      </w:pPr>
      <w:r>
        <w:rPr/>
        <w:t>Favorable Long-term PPA</w:t>
      </w:r>
    </w:p>
    <w:p>
      <w:pPr>
        <w:pStyle w:val="Normal"/>
        <w:rPr/>
      </w:pPr>
      <w:r>
        <w:rPr/>
        <w:t>The Power Plant has entered into a 21 year PPA with Furnas for 100% of the electricity generated by the Power Plant on a “take-or-pay” basis. The PPA includes provisions for adjustments on all capacity payments which ensures a stable revenue stream to the Power Plant.  In addition, the structure of the PPA ensures that some 80% of the variable costs of the Power Plant are covered by the capacity payment such that the short-run marginal costs of the Plant are extremely low, ensuring a high load factor for the Plant.  The PPA is also the only contract currently in place that provides specific and automatic foreign exchange protection.</w:t>
      </w:r>
    </w:p>
    <w:p>
      <w:pPr>
        <w:pStyle w:val="Heading5"/>
        <w:numPr>
          <w:ilvl w:val="4"/>
          <w:numId w:val="5"/>
        </w:numPr>
        <w:ind w:hanging="0" w:start="0"/>
        <w:rPr/>
      </w:pPr>
      <w:r>
        <w:rPr>
          <w:rStyle w:val="ital"/>
          <w:i w:val="false"/>
        </w:rPr>
        <w:t>PPA Guaranteed by Eletrobrás</w:t>
      </w:r>
    </w:p>
    <w:p>
      <w:pPr>
        <w:pStyle w:val="Normal"/>
        <w:rPr/>
      </w:pPr>
      <w:r>
        <w:rPr/>
        <w:t>The obligations of Furnas under the PPA have been guaranteed by Eletrobrás, Furnas’ controlling shareholder.  Eletrobrás is itself majority owned by the Federal Government of Brazil.</w:t>
      </w:r>
    </w:p>
    <w:p>
      <w:pPr>
        <w:pStyle w:val="Heading5"/>
        <w:numPr>
          <w:ilvl w:val="4"/>
          <w:numId w:val="5"/>
        </w:numPr>
        <w:ind w:hanging="0" w:start="0"/>
        <w:rPr/>
      </w:pPr>
      <w:r>
        <w:rPr/>
        <w:t>Optionality on Gas Supply</w:t>
      </w:r>
    </w:p>
    <w:p>
      <w:pPr>
        <w:pStyle w:val="Normal"/>
        <w:rPr/>
      </w:pPr>
      <w:r>
        <w:rPr/>
        <w:t>The Power Plant has entered into an agreement with TBS to receive 100% of its gas supply needs, of which 80% is on a take-or-pay basis.  TBS, in turn, has contracted with Repsol YPF-Andina to purchase 75% of the Power Plant’s needs.  In addition, TBS has retained the option to acquire the remaining 25% from other sources.  Enron believes that its ability to source this 25% independently provides substantial optionality on the price of gas.</w:t>
      </w:r>
    </w:p>
    <w:p>
      <w:pPr>
        <w:pStyle w:val="Heading5"/>
        <w:numPr>
          <w:ilvl w:val="4"/>
          <w:numId w:val="5"/>
        </w:numPr>
        <w:ind w:hanging="0" w:start="0"/>
        <w:rPr/>
      </w:pPr>
      <w:r>
        <w:rPr>
          <w:rStyle w:val="ital"/>
          <w:i w:val="false"/>
        </w:rPr>
        <w:t>Ownership of Project Pipeline not Transferred on Termination of PPA</w:t>
      </w:r>
    </w:p>
    <w:p>
      <w:pPr>
        <w:pStyle w:val="Normal"/>
        <w:rPr/>
      </w:pPr>
      <w:r>
        <w:rPr/>
        <w:t>Unlike the Power Plant, the Project Pipeline will not be transferred to Furnas at the end of the PPA.  The owners of the Project Pipeline will therefore be uniquely positioned to continue providing value added fuel supply services to the Power Plant and to any future users of the Pipeline (</w:t>
      </w:r>
      <w:r>
        <w:rPr>
          <w:i/>
        </w:rPr>
        <w:t>e.g.</w:t>
      </w:r>
      <w:r>
        <w:rPr/>
        <w:t xml:space="preserve"> Cuiabá II and III).  </w:t>
      </w:r>
    </w:p>
    <w:p>
      <w:pPr>
        <w:pStyle w:val="Heading5"/>
        <w:numPr>
          <w:ilvl w:val="4"/>
          <w:numId w:val="5"/>
        </w:numPr>
        <w:ind w:hanging="0" w:start="0"/>
        <w:rPr>
          <w:i w:val="false"/>
          <w:i w:val="false"/>
        </w:rPr>
      </w:pPr>
      <w:r>
        <w:rPr>
          <w:rStyle w:val="ital"/>
          <w:i w:val="false"/>
        </w:rPr>
        <w:t>Low Cost Government Financing</w:t>
      </w:r>
    </w:p>
    <w:p>
      <w:pPr>
        <w:pStyle w:val="Normal"/>
        <w:rPr/>
      </w:pPr>
      <w:r>
        <w:rPr/>
        <w:t>Public financing has been solicited from Superintendência do Desenvolvimento da Amazônia (Sudam), a Brazilian regional development fund that could bring significant additional benefits to the project shareholders.  The Power Plant project has already been formally pre-approved by Sudam.  Enron currently expects that the Project will obtain 15 year debt financing at a cost of approximately 9%.</w:t>
      </w:r>
    </w:p>
    <w:p>
      <w:pPr>
        <w:pStyle w:val="Heading4"/>
        <w:ind w:hanging="0" w:start="0"/>
        <w:rPr/>
      </w:pPr>
      <w:r>
        <w:rPr/>
        <w:t>Development Projects</w:t>
      </w:r>
    </w:p>
    <w:p>
      <w:pPr>
        <w:pStyle w:val="Heading5"/>
        <w:numPr>
          <w:ilvl w:val="4"/>
          <w:numId w:val="5"/>
        </w:numPr>
        <w:ind w:hanging="0" w:start="0"/>
        <w:rPr/>
      </w:pPr>
      <w:r>
        <w:rPr/>
        <w:t>Two Plants with Emergency Plant Status</w:t>
      </w:r>
    </w:p>
    <w:p>
      <w:pPr>
        <w:pStyle w:val="Normal"/>
        <w:rPr/>
      </w:pPr>
      <w:r>
        <w:rPr/>
        <w:t>Both Cuiabá II and Riogen I have emergency plant status which should greatly expedite their completion and financing, as well as making them highly competitive in a rapidly deregulating market.</w:t>
      </w:r>
    </w:p>
    <w:p>
      <w:pPr>
        <w:pStyle w:val="Heading5"/>
        <w:numPr>
          <w:ilvl w:val="4"/>
          <w:numId w:val="5"/>
        </w:numPr>
        <w:ind w:hanging="0" w:start="0"/>
        <w:rPr/>
      </w:pPr>
      <w:r>
        <w:rPr/>
        <w:t xml:space="preserve">Scope for Further Expansion </w:t>
      </w:r>
    </w:p>
    <w:p>
      <w:pPr>
        <w:pStyle w:val="Normal"/>
        <w:rPr/>
      </w:pPr>
      <w:r>
        <w:rPr/>
        <w:t>Enron has deliberately ensured that each project has strong medium term expansion plans, such as oversizing the Cuiabá pipeline and by buying sufficient land at Riogen I to double the capacity to 1,000 MW.</w:t>
      </w:r>
    </w:p>
    <w:p>
      <w:pPr>
        <w:pStyle w:val="Heading5"/>
        <w:numPr>
          <w:ilvl w:val="4"/>
          <w:numId w:val="5"/>
        </w:numPr>
        <w:ind w:hanging="0" w:start="0"/>
        <w:rPr/>
      </w:pPr>
      <w:r>
        <w:rPr/>
        <w:t>Projects at Advanced Stage of Development</w:t>
      </w:r>
    </w:p>
    <w:p>
      <w:pPr>
        <w:pStyle w:val="Normal"/>
        <w:rPr/>
      </w:pPr>
      <w:r>
        <w:rPr/>
        <w:t>Much of Enron’s generation development portfolio is well advanced, thereby reducing implementation risk.  In most cases, Enron has already conducted detailed off-take and gas supply contract negotiations, has acquired appropriate sites (or the option to acquire them) and has taken several steps towards obtaining the required permits and approvals.</w:t>
      </w:r>
    </w:p>
    <w:p>
      <w:pPr>
        <w:pStyle w:val="Heading5"/>
        <w:numPr>
          <w:ilvl w:val="4"/>
          <w:numId w:val="5"/>
        </w:numPr>
        <w:ind w:hanging="0" w:start="0"/>
        <w:rPr/>
      </w:pPr>
      <w:r>
        <w:rPr/>
        <w:t>Potential for Synergies with other Enron Companies and Activities</w:t>
      </w:r>
    </w:p>
    <w:p>
      <w:pPr>
        <w:pStyle w:val="Normal"/>
        <w:rPr/>
      </w:pPr>
      <w:r>
        <w:rPr/>
        <w:t>Enron’s power generation portfolio will add significant value to other businesses in its portfolio, such as CEG/CEG-Rio which will supply gas to Riogen I and II.</w:t>
      </w:r>
    </w:p>
    <w:p>
      <w:pPr>
        <w:pStyle w:val="Heading2"/>
        <w:ind w:hanging="0" w:start="0"/>
        <w:rPr/>
      </w:pPr>
      <w:r>
        <w:rPr/>
        <w:t>Cuiabá</w:t>
      </w:r>
    </w:p>
    <w:p>
      <w:pPr>
        <w:pStyle w:val="Heading3"/>
        <w:ind w:hanging="0" w:start="0"/>
        <w:rPr/>
      </w:pPr>
      <w:r>
        <w:rPr/>
        <w:t>Description of Assets</w:t>
      </w:r>
    </w:p>
    <w:p>
      <w:pPr>
        <w:pStyle w:val="Heading4"/>
        <w:ind w:hanging="0" w:start="0"/>
        <w:rPr/>
      </w:pPr>
      <w:r>
        <w:rPr/>
        <w:t>Overview</w:t>
      </w:r>
    </w:p>
    <w:p>
      <w:pPr>
        <w:pStyle w:val="Normal"/>
        <w:rPr/>
      </w:pPr>
      <w:r>
        <w:rPr/>
        <w:t xml:space="preserve">The Cuiabá pipeline and power generation project (the “Cuiabá Project”) is composed of four principal components:  </w:t>
      </w:r>
    </w:p>
    <w:p>
      <w:pPr>
        <w:pStyle w:val="BLKmed1st1"/>
        <w:numPr>
          <w:ilvl w:val="0"/>
          <w:numId w:val="2"/>
        </w:numPr>
        <w:rPr/>
      </w:pPr>
      <w:r>
        <w:rPr/>
        <w:t>the power generation plant (the “Power Plant”), which will have an initial capacity of 480 MW;</w:t>
      </w:r>
    </w:p>
    <w:p>
      <w:pPr>
        <w:pStyle w:val="BLKmed1st1"/>
        <w:numPr>
          <w:ilvl w:val="0"/>
          <w:numId w:val="2"/>
        </w:numPr>
        <w:rPr/>
      </w:pPr>
      <w:r>
        <w:rPr/>
        <w:t xml:space="preserve">the Brazilian segment of the pipeline which supplies the Power Plant (“GasMat”); </w:t>
      </w:r>
    </w:p>
    <w:p>
      <w:pPr>
        <w:pStyle w:val="BLKmed1st1"/>
        <w:numPr>
          <w:ilvl w:val="0"/>
          <w:numId w:val="2"/>
        </w:numPr>
        <w:rPr/>
      </w:pPr>
      <w:r>
        <w:rPr/>
        <w:t xml:space="preserve">the Bolivian segment of the pipeline which supplies the Power Plant (“GasBol”) (GasMat and GasBol are referred to collectively hereinafter as the “Project Pipeline”); and </w:t>
      </w:r>
    </w:p>
    <w:p>
      <w:pPr>
        <w:pStyle w:val="BLKmed1st1"/>
        <w:numPr>
          <w:ilvl w:val="0"/>
          <w:numId w:val="2"/>
        </w:numPr>
        <w:rPr/>
      </w:pPr>
      <w:r>
        <w:rPr/>
        <w:t>Transborder Gas Services Ltd. (“TBS”), a gas marketing vehicle which purchases natural gas from Bolivia or Argentina for delivery to the Power Plant through Transredes, BBPL (GTB – the Bolivian segment of the pipeline) and the Project Pipeline.</w:t>
      </w:r>
    </w:p>
    <w:p>
      <w:pPr>
        <w:pStyle w:val="Normal"/>
        <w:rPr/>
      </w:pPr>
      <w:r>
        <w:rPr/>
        <w:t>The Project is in the State of Mato Grosso and was awarded through a public bid process in July 1997.  The bid was awarded on the basis of the lowest proposed power price, although a unique feature of the bid was that the fuel supply was also included in the tender.  This enabled Enron to design a mechanism for extracting additional value in the supply of fuel to the project.</w:t>
      </w:r>
    </w:p>
    <w:p>
      <w:pPr>
        <w:pStyle w:val="Heading4"/>
        <w:ind w:hanging="0" w:start="0"/>
        <w:rPr/>
      </w:pPr>
      <w:r>
        <w:rPr/>
        <w:t>Power Plant</w:t>
      </w:r>
    </w:p>
    <w:p>
      <w:pPr>
        <w:pStyle w:val="Heading5"/>
        <w:numPr>
          <w:ilvl w:val="4"/>
          <w:numId w:val="5"/>
        </w:numPr>
        <w:ind w:hanging="0" w:start="0"/>
        <w:rPr/>
      </w:pPr>
      <w:r>
        <w:rPr/>
        <w:t>Physical Assets</w:t>
      </w:r>
    </w:p>
    <w:p>
      <w:pPr>
        <w:pStyle w:val="Normal"/>
        <w:rPr/>
      </w:pPr>
      <w:r>
        <w:rPr/>
        <w:t>The Power Plant is a 480 MW (nominal) combined-cycle electric power generating facility.  When fully constructed, the Power Plant will consist of two 150 MW combustion turbines and one 180 MW steam turbine, providing a total nominal capacity of 480 MW.</w:t>
      </w:r>
    </w:p>
    <w:p>
      <w:pPr>
        <w:pStyle w:val="Normal"/>
        <w:rPr/>
      </w:pPr>
      <w:r>
        <w:rPr/>
        <w:t>The turbines are the latest V84.3A made by Siemens AG.  This model runs at a thermal efficiency of 38% in simple cycle.  In combined cycle configuration, combustion thermal efficiency reaches 56.41% (at the lower heat rate of 7,000 Btu/KWh when running on natural gas).  The combustion turbines are designed to burn natural gas or diesel.  During Phase I, the Power Plant is being fired with diesel.  Commencing with the completion of Phase II and on completion of the Project Pipeline, the Power Plant will utilize natural gas as its primary fuel (with diesel available as a backup fuel).</w:t>
      </w:r>
    </w:p>
    <w:p>
      <w:pPr>
        <w:pStyle w:val="Normal"/>
        <w:rPr/>
      </w:pPr>
      <w:r>
        <w:rPr/>
        <w:t>The V84.3A model is a single shaft turbine of single casting design, with a single rotor driving both compressor and turbine.  The combustion chamber employs hybrid burners which suppress NOx formation without injection of steam or water, guaranteeing low NOx emissions.</w:t>
      </w:r>
    </w:p>
    <w:p>
      <w:pPr>
        <w:pStyle w:val="Normal"/>
        <w:rPr/>
      </w:pPr>
      <w:r>
        <w:rPr/>
        <w:t>The steam turbine will be a combined HP/IP turbine (K-type), designed as a dual admission, axial-flow reaction condensing turbine and a double-flow LP turbine.  The heat recovery boiler will be a simple conversion forced/natural circulation drum-type, generating steam in high, intermediate and low pressure sections.  The instrumentation and control system employed will be the proven TELEPERM XP digital process system by Siemens AG.</w:t>
      </w:r>
    </w:p>
    <w:p>
      <w:pPr>
        <w:pStyle w:val="Heading5"/>
        <w:numPr>
          <w:ilvl w:val="4"/>
          <w:numId w:val="5"/>
        </w:numPr>
        <w:ind w:hanging="0" w:start="0"/>
        <w:rPr/>
      </w:pPr>
      <w:r>
        <w:rPr/>
        <w:t>Status of Construction</w:t>
      </w:r>
    </w:p>
    <w:p>
      <w:pPr>
        <w:pStyle w:val="Normal"/>
        <w:rPr/>
      </w:pPr>
      <w:r>
        <w:rPr/>
        <w:t>The Cuiabá Project is at an advanced stage of completion.  During its initial phase (“Phase I”), which is over 96 % complete, the Power Plant has been operating on diesel fuel at a nominal capacity of 150 MW since April 1999 and has achieved power dispatch levels of over 18 hours per day. Upon completion of the Project Pipeline and the commencement of commercial deliveries of natural gas to the Power Plant (anticipated in late 2000), the nominal capacity of the Power Plant will increase to approximately 300 MW (“Phase II”). Upon completion of the final phase (July 2001), the Power Plant will operate in combined cycle mode and will have a nominal capacity of 480 MW (“Phase III”).  At that point, it is expected to be used as a base-load facility and to be dispatched almost 24 hours a day.</w:t>
      </w:r>
    </w:p>
    <w:p>
      <w:pPr>
        <w:pStyle w:val="Heading4"/>
        <w:ind w:hanging="0" w:start="0"/>
        <w:rPr/>
      </w:pPr>
      <w:r>
        <w:rPr/>
        <w:t>Pipelines</w:t>
      </w:r>
    </w:p>
    <w:p>
      <w:pPr>
        <w:pStyle w:val="Heading5"/>
        <w:numPr>
          <w:ilvl w:val="4"/>
          <w:numId w:val="5"/>
        </w:numPr>
        <w:ind w:hanging="0" w:start="0"/>
        <w:rPr/>
      </w:pPr>
      <w:r>
        <w:rPr/>
        <w:t>Physical Assets</w:t>
      </w:r>
    </w:p>
    <w:p>
      <w:pPr>
        <w:pStyle w:val="Normal"/>
        <w:rPr/>
      </w:pPr>
      <w:r>
        <w:rPr/>
        <w:t>In order to supply natural gas to the Power Plant, an essential component of the Cuiabá Project is the construction of a 641 km, 18</w:t>
        <w:noBreakHyphen/>
        <w:t>inch pipeline lateral that will deliver gas to the Power Plant from Transredes and from the GTB segment of the Bolivia-to-Brazil pipeline (both of which are described in this Memorandum).  GTB will transport gas from Rio Grande to the connection point of the Project Pipeline at Rio San Miguel.</w:t>
      </w:r>
    </w:p>
    <w:p>
      <w:pPr>
        <w:pStyle w:val="TableTitlemed5"/>
        <w:rPr/>
      </w:pPr>
      <w:r>
        <w:rPr/>
        <w:t>Cuiabá Project</w:t>
      </w:r>
    </w:p>
    <w:p>
      <w:pPr>
        <w:pStyle w:val="BLKmed1st1"/>
        <w:rPr/>
      </w:pPr>
      <w:r>
        <w:rPr/>
        <w:drawing>
          <wp:inline distT="0" distB="0" distL="0" distR="0">
            <wp:extent cx="4112895" cy="2945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9" r="-6" b="-9"/>
                    <a:stretch>
                      <a:fillRect/>
                    </a:stretch>
                  </pic:blipFill>
                  <pic:spPr bwMode="auto">
                    <a:xfrm>
                      <a:off x="0" y="0"/>
                      <a:ext cx="4112895" cy="2945765"/>
                    </a:xfrm>
                    <a:prstGeom prst="rect">
                      <a:avLst/>
                    </a:prstGeom>
                    <a:noFill/>
                  </pic:spPr>
                </pic:pic>
              </a:graphicData>
            </a:graphic>
          </wp:inline>
        </w:drawing>
      </w:r>
      <w:r>
        <w:rPr>
          <w:rStyle w:val="hidden"/>
        </w:rPr>
        <w:t>This map was imported from an e-mailed file, no trailer given.</w:t>
      </w:r>
    </w:p>
    <w:p>
      <w:pPr>
        <w:pStyle w:val="Normal"/>
        <w:rPr/>
      </w:pPr>
      <w:r>
        <w:rPr/>
        <w:t>As illustrated, GasBol connects with the Bolivian portion of the Bolivia-Brazil Pipeline at km marker 242 and runs North and then Northeast for 363 kilometers to the Bolivia-Brazil border.  From the border of Brazil, GasMat then runs North-Easterly for 278 km to the Power Plant.</w:t>
      </w:r>
    </w:p>
    <w:p>
      <w:pPr>
        <w:pStyle w:val="Heading5"/>
        <w:numPr>
          <w:ilvl w:val="4"/>
          <w:numId w:val="5"/>
        </w:numPr>
        <w:ind w:hanging="0" w:start="0"/>
        <w:rPr/>
      </w:pPr>
      <w:r>
        <w:rPr/>
        <w:t>Status of Construction</w:t>
      </w:r>
    </w:p>
    <w:p>
      <w:pPr>
        <w:pStyle w:val="Normal"/>
        <w:rPr/>
      </w:pPr>
      <w:r>
        <w:rPr/>
        <w:t>Both GasBol and GasMat are currently under construction.  GasBol is expected to be completed by June 2000 and GasMat is expected to be completed by October of 2000.  All necessary permits and governmental approvals for the transportation of gas have either been obtained or are expected to be obtained by mid-2000. Under the contracts of GasMat and TBS to deliver gas to the Power Plant, GasMat would have to deliver gas by May 2000.  In turn, the PPA between the Power Plant and Furnas requires that the Power Plant switch from diesel to gas by May 2000.  The only open issue preventing the completion of GasMat is an injunction issued by a Brazilian State judge which has delayed construction on a 64 km segment on the border with Bolivia.  [STATUS]  The injunction would contractually trigger a force majeure provision in the transportation agreements negotiated to supply the Power Plant.  In addition, it would trigger mirror provisions in the PPA and the gas supply arrangements executed with Repsol YPF-Andina.  The Mato Grosso State Government is working with the Project sponsors to resolve this issue which management believes will not result in any loss to Enron.  [CONFIRM]</w:t>
      </w:r>
    </w:p>
    <w:p>
      <w:pPr>
        <w:pStyle w:val="Heading3"/>
        <w:ind w:hanging="0" w:start="0"/>
        <w:rPr/>
      </w:pPr>
      <w:r>
        <w:rPr/>
        <w:t xml:space="preserve">Regulation </w:t>
      </w:r>
    </w:p>
    <w:p>
      <w:pPr>
        <w:pStyle w:val="Heading4"/>
        <w:ind w:hanging="0" w:start="0"/>
        <w:rPr/>
      </w:pPr>
      <w:r>
        <w:rPr/>
        <w:t>IPP Regulations</w:t>
      </w:r>
    </w:p>
    <w:p>
      <w:pPr>
        <w:pStyle w:val="Normal"/>
        <w:rPr/>
      </w:pPr>
      <w:r>
        <w:rPr/>
        <w:t>The power generation sector continues to undergo a process of fundamental change, moving from a highly regulated model to a market-based system.  The construction of almost all new generation capacity is carried out by the private sector with no restrictions on the development of new thermal capacity other than obtaining standard permits and approvals.  All new hydroelectric capacity over [30] MW must be put out to public tender by ANEEL.</w:t>
      </w:r>
    </w:p>
    <w:p>
      <w:pPr>
        <w:pStyle w:val="Normal"/>
        <w:rPr/>
      </w:pPr>
      <w:r>
        <w:rPr/>
        <w:t>As a result of continuous delays in the construction of new generation capacity and the consequent high risk of shortages, the Brazilian Federal Government recently initiated a scheme to accelerate the development and financing of new capacity.  This involves the assignment of Emergency Plant status to selected new thermal, mostly gas-fired, generation projects.  As described above, this status gives those facilities preferential rights as concerns the price of gas, dispatch, foreign exchange protection and acceleration of the granting of permits and approvals.  Forty-nine plants totaling over 17,000 MW have been given Emergency Plant status, including Cuiabá II and RioGen I.</w:t>
      </w:r>
    </w:p>
    <w:p>
      <w:pPr>
        <w:pStyle w:val="Normal"/>
        <w:rPr/>
      </w:pPr>
      <w:r>
        <w:rPr/>
        <w:t>In order to further speed the development of new generation capacity, ANEEL has introduced the concept of a ceiling price for the contracting of new generation capacity.  All new projects whose price falls below this ceiling, known as the “Normative Value”, should receive expedited approval of their PPAs as concerns the pass-through of the price of power to the end-consumer tariff.  The Normative Value for new gas-fired capacity was set at R$57.20/MWh in July 1999, equivalent to US$32.40/MWh at that time.</w:t>
      </w:r>
    </w:p>
    <w:p>
      <w:pPr>
        <w:pStyle w:val="Normal"/>
        <w:rPr/>
      </w:pPr>
      <w:r>
        <w:rPr/>
        <w:t>The Normative Value is adjusted as follows:</w:t>
      </w:r>
    </w:p>
    <w:tbl>
      <w:tblPr>
        <w:tblW w:w="5598" w:type="dxa"/>
        <w:jc w:val="start"/>
        <w:tblInd w:w="0" w:type="dxa"/>
        <w:tblLayout w:type="fixed"/>
        <w:tblCellMar>
          <w:top w:w="0" w:type="dxa"/>
          <w:start w:w="108" w:type="dxa"/>
          <w:bottom w:w="0" w:type="dxa"/>
          <w:end w:w="108" w:type="dxa"/>
        </w:tblCellMar>
      </w:tblPr>
      <w:tblGrid>
        <w:gridCol w:w="1866"/>
        <w:gridCol w:w="1866"/>
        <w:gridCol w:w="1866"/>
      </w:tblGrid>
      <w:tr>
        <w:trPr>
          <w:tblHeader w:val="true"/>
        </w:trPr>
        <w:tc>
          <w:tcPr>
            <w:tcW w:w="1866" w:type="dxa"/>
            <w:tcBorders>
              <w:top w:val="single" w:sz="4" w:space="0" w:color="000000"/>
              <w:start w:val="single" w:sz="4" w:space="0" w:color="000000"/>
              <w:bottom w:val="single" w:sz="4" w:space="0" w:color="000000"/>
            </w:tcBorders>
            <w:shd w:fill="FFFF00" w:val="clear"/>
          </w:tcPr>
          <w:p>
            <w:pPr>
              <w:pStyle w:val="TableBody"/>
              <w:keepNext w:val="true"/>
              <w:rPr>
                <w:b/>
                <w:sz w:val="18"/>
              </w:rPr>
            </w:pPr>
            <w:r>
              <w:rPr>
                <w:b/>
                <w:sz w:val="18"/>
              </w:rPr>
              <w:t>Criterion</w:t>
            </w:r>
          </w:p>
        </w:tc>
        <w:tc>
          <w:tcPr>
            <w:tcW w:w="1866" w:type="dxa"/>
            <w:tcBorders>
              <w:top w:val="single" w:sz="4" w:space="0" w:color="000000"/>
              <w:bottom w:val="single" w:sz="4" w:space="0" w:color="000000"/>
            </w:tcBorders>
            <w:shd w:fill="FFFF00" w:val="clear"/>
          </w:tcPr>
          <w:p>
            <w:pPr>
              <w:pStyle w:val="TableBody"/>
              <w:jc w:val="center"/>
              <w:rPr>
                <w:b/>
                <w:sz w:val="18"/>
              </w:rPr>
            </w:pPr>
            <w:r>
              <w:rPr>
                <w:b/>
                <w:sz w:val="18"/>
              </w:rPr>
              <w:t>Weighting</w:t>
            </w:r>
          </w:p>
        </w:tc>
        <w:tc>
          <w:tcPr>
            <w:tcW w:w="1866" w:type="dxa"/>
            <w:tcBorders>
              <w:top w:val="single" w:sz="4" w:space="0" w:color="000000"/>
              <w:bottom w:val="single" w:sz="4" w:space="0" w:color="000000"/>
              <w:end w:val="single" w:sz="4" w:space="0" w:color="000000"/>
            </w:tcBorders>
            <w:shd w:fill="FFFF00" w:val="clear"/>
          </w:tcPr>
          <w:p>
            <w:pPr>
              <w:pStyle w:val="TableBody"/>
              <w:jc w:val="center"/>
              <w:rPr>
                <w:b/>
                <w:sz w:val="18"/>
              </w:rPr>
            </w:pPr>
            <w:r>
              <w:rPr>
                <w:b/>
                <w:sz w:val="18"/>
              </w:rPr>
              <w:t>Base Values</w:t>
            </w:r>
          </w:p>
        </w:tc>
      </w:tr>
      <w:tr>
        <w:trPr/>
        <w:tc>
          <w:tcPr>
            <w:tcW w:w="1866" w:type="dxa"/>
            <w:tcBorders>
              <w:start w:val="single" w:sz="4" w:space="0" w:color="000000"/>
            </w:tcBorders>
          </w:tcPr>
          <w:p>
            <w:pPr>
              <w:pStyle w:val="TableBody"/>
              <w:keepNext w:val="true"/>
              <w:spacing w:before="80" w:after="80"/>
              <w:rPr>
                <w:color w:val="000000"/>
                <w:sz w:val="18"/>
              </w:rPr>
            </w:pPr>
            <w:r>
              <w:rPr>
                <w:color w:val="000000"/>
                <w:sz w:val="18"/>
              </w:rPr>
              <w:t>Inflation (IGP-M)</w:t>
            </w:r>
          </w:p>
        </w:tc>
        <w:tc>
          <w:tcPr>
            <w:tcW w:w="1866" w:type="dxa"/>
            <w:tcBorders/>
          </w:tcPr>
          <w:p>
            <w:pPr>
              <w:pStyle w:val="TableBody"/>
              <w:spacing w:before="80" w:after="80"/>
              <w:jc w:val="center"/>
              <w:rPr>
                <w:color w:val="000000"/>
                <w:sz w:val="18"/>
              </w:rPr>
            </w:pPr>
            <w:r>
              <w:rPr>
                <w:color w:val="000000"/>
                <w:sz w:val="18"/>
              </w:rPr>
              <w:t>[30]%</w:t>
            </w:r>
          </w:p>
        </w:tc>
        <w:tc>
          <w:tcPr>
            <w:tcW w:w="1866" w:type="dxa"/>
            <w:tcBorders>
              <w:end w:val="single" w:sz="4" w:space="0" w:color="000000"/>
            </w:tcBorders>
          </w:tcPr>
          <w:p>
            <w:pPr>
              <w:pStyle w:val="TableBody"/>
              <w:spacing w:before="80" w:after="80"/>
              <w:jc w:val="center"/>
              <w:rPr>
                <w:color w:val="000000"/>
                <w:sz w:val="18"/>
              </w:rPr>
            </w:pPr>
            <w:r>
              <w:rPr>
                <w:color w:val="000000"/>
                <w:sz w:val="18"/>
              </w:rPr>
              <w:t>1.12261</w:t>
            </w:r>
          </w:p>
        </w:tc>
      </w:tr>
      <w:tr>
        <w:trPr/>
        <w:tc>
          <w:tcPr>
            <w:tcW w:w="1866" w:type="dxa"/>
            <w:tcBorders>
              <w:start w:val="single" w:sz="4" w:space="0" w:color="000000"/>
            </w:tcBorders>
          </w:tcPr>
          <w:p>
            <w:pPr>
              <w:pStyle w:val="TableBody"/>
              <w:keepNext w:val="true"/>
              <w:spacing w:before="80" w:after="80"/>
              <w:rPr>
                <w:color w:val="000000"/>
                <w:sz w:val="18"/>
              </w:rPr>
            </w:pPr>
            <w:r>
              <w:rPr>
                <w:color w:val="000000"/>
                <w:sz w:val="18"/>
              </w:rPr>
              <w:t>Oil Prices</w:t>
            </w:r>
          </w:p>
        </w:tc>
        <w:tc>
          <w:tcPr>
            <w:tcW w:w="1866" w:type="dxa"/>
            <w:tcBorders/>
          </w:tcPr>
          <w:p>
            <w:pPr>
              <w:pStyle w:val="TableBody"/>
              <w:spacing w:before="80" w:after="80"/>
              <w:jc w:val="center"/>
              <w:rPr>
                <w:color w:val="000000"/>
                <w:sz w:val="18"/>
              </w:rPr>
            </w:pPr>
            <w:r>
              <w:rPr>
                <w:color w:val="000000"/>
                <w:sz w:val="18"/>
              </w:rPr>
              <w:t>[40]%</w:t>
            </w:r>
          </w:p>
        </w:tc>
        <w:tc>
          <w:tcPr>
            <w:tcW w:w="1866" w:type="dxa"/>
            <w:tcBorders>
              <w:end w:val="single" w:sz="4" w:space="0" w:color="000000"/>
            </w:tcBorders>
          </w:tcPr>
          <w:p>
            <w:pPr>
              <w:pStyle w:val="TableBody"/>
              <w:spacing w:before="80" w:after="80"/>
              <w:jc w:val="center"/>
              <w:rPr>
                <w:color w:val="000000"/>
                <w:sz w:val="18"/>
              </w:rPr>
            </w:pPr>
            <w:r>
              <w:rPr>
                <w:color w:val="000000"/>
                <w:sz w:val="18"/>
              </w:rPr>
              <w:t>R$161.916</w:t>
            </w:r>
          </w:p>
        </w:tc>
      </w:tr>
      <w:tr>
        <w:trPr/>
        <w:tc>
          <w:tcPr>
            <w:tcW w:w="1866" w:type="dxa"/>
            <w:tcBorders>
              <w:start w:val="single" w:sz="4" w:space="0" w:color="000000"/>
              <w:bottom w:val="single" w:sz="4" w:space="0" w:color="000000"/>
            </w:tcBorders>
          </w:tcPr>
          <w:p>
            <w:pPr>
              <w:pStyle w:val="TableBody"/>
              <w:spacing w:before="80" w:after="80"/>
              <w:rPr>
                <w:color w:val="000000"/>
                <w:sz w:val="18"/>
              </w:rPr>
            </w:pPr>
            <w:r>
              <w:rPr>
                <w:color w:val="000000"/>
                <w:sz w:val="18"/>
              </w:rPr>
              <w:t>US$ Exchange Rate</w:t>
            </w:r>
          </w:p>
        </w:tc>
        <w:tc>
          <w:tcPr>
            <w:tcW w:w="1866" w:type="dxa"/>
            <w:tcBorders>
              <w:bottom w:val="single" w:sz="4" w:space="0" w:color="000000"/>
            </w:tcBorders>
          </w:tcPr>
          <w:p>
            <w:pPr>
              <w:pStyle w:val="TableBody"/>
              <w:spacing w:before="80" w:after="80"/>
              <w:jc w:val="center"/>
              <w:rPr>
                <w:color w:val="000000"/>
                <w:sz w:val="18"/>
              </w:rPr>
            </w:pPr>
            <w:r>
              <w:rPr>
                <w:color w:val="000000"/>
                <w:sz w:val="18"/>
              </w:rPr>
              <w:t>[30]%</w:t>
            </w:r>
          </w:p>
        </w:tc>
        <w:tc>
          <w:tcPr>
            <w:tcW w:w="1866" w:type="dxa"/>
            <w:tcBorders>
              <w:bottom w:val="single" w:sz="4" w:space="0" w:color="000000"/>
              <w:end w:val="single" w:sz="4" w:space="0" w:color="000000"/>
            </w:tcBorders>
          </w:tcPr>
          <w:p>
            <w:pPr>
              <w:pStyle w:val="TableBody"/>
              <w:spacing w:before="80" w:after="80"/>
              <w:jc w:val="center"/>
              <w:rPr>
                <w:color w:val="000000"/>
                <w:sz w:val="18"/>
              </w:rPr>
            </w:pPr>
            <w:r>
              <w:rPr>
                <w:color w:val="000000"/>
                <w:sz w:val="18"/>
              </w:rPr>
              <w:t>R$1.7654/US$</w:t>
            </w:r>
          </w:p>
        </w:tc>
      </w:tr>
    </w:tbl>
    <w:p>
      <w:pPr>
        <w:pStyle w:val="Normal"/>
        <w:rPr/>
      </w:pPr>
      <w:r>
        <w:rPr/>
      </w:r>
    </w:p>
    <w:p>
      <w:pPr>
        <w:pStyle w:val="Normal"/>
        <w:rPr/>
      </w:pPr>
      <w:r>
        <w:rPr/>
        <w:t>Adjusting for the movement in these indicators since July 1999, the Normative Value is now approximately US$35/MWh.</w:t>
      </w:r>
    </w:p>
    <w:p>
      <w:pPr>
        <w:pStyle w:val="Normal"/>
        <w:rPr/>
      </w:pPr>
      <w:r>
        <w:rPr/>
        <w:t>A further key element of the regulatory framework in Brazil concerns the ability of power distribution companies to self-deal, i.e. to contract with affiliated generation companies. This ability, however, to self-deal is capped at 30% of the regulated demand plus 100% of the unregulated demand of each power distributor.  Elektro is therefore of enormous strategic value in the implementation of a power generation strategy in Brazil.</w:t>
      </w:r>
    </w:p>
    <w:p>
      <w:pPr>
        <w:pStyle w:val="Heading4"/>
        <w:ind w:hanging="0" w:start="0"/>
        <w:rPr/>
      </w:pPr>
      <w:r>
        <w:rPr/>
        <w:t>Market Operations - Rules and Procedures</w:t>
      </w:r>
    </w:p>
    <w:p>
      <w:pPr>
        <w:pStyle w:val="Normal"/>
        <w:rPr/>
      </w:pPr>
      <w:r>
        <w:rPr/>
        <w:t>Recent months have seen the creation of the National System Operator (“ONS”) an independent body formed to handle the dispatch and short-term operational planning of the generation system, and of the Wholesale Electricity Market (“MAE”), within which electricity will be priced and traded.  The Association of MAE [Participants] (“ASMAE”) was also formed to carry out market clearing and settlement and other functions.</w:t>
      </w:r>
    </w:p>
    <w:p>
      <w:pPr>
        <w:pStyle w:val="Normal"/>
        <w:rPr/>
      </w:pPr>
      <w:r>
        <w:rPr/>
        <w:t>[PROVIDE INFORMATION ON DISPATCH AND SHORT RUN POWER PRICING]</w:t>
      </w:r>
    </w:p>
    <w:p>
      <w:pPr>
        <w:pStyle w:val="Heading4"/>
        <w:ind w:hanging="0" w:start="0"/>
        <w:rPr/>
      </w:pPr>
      <w:r>
        <w:rPr/>
        <w:t>Pipeline Regulation</w:t>
      </w:r>
    </w:p>
    <w:p>
      <w:pPr>
        <w:pStyle w:val="Normal"/>
        <w:rPr/>
      </w:pPr>
      <w:r>
        <w:rPr/>
        <w:t>GasBol and GasMat are subject to the regulatory frameworks of Bolivia and Brazil, respectively.  The Bolivian pipeline system is regulated by Sistema de Regulación Sectorial (“SIRESE”) which is an open access system with distanced-based tariffs regulated by SIRESE.  In addition, it requires unbundling of the transportation and gas acquisition costs.  GasMat is regulated by ANP.  Please refer to Section II above for further information on regulations governing the Bolivian and Brazilian pipeline sectors.</w:t>
      </w:r>
    </w:p>
    <w:p>
      <w:pPr>
        <w:pStyle w:val="Heading3"/>
        <w:ind w:hanging="0" w:start="0"/>
        <w:rPr/>
      </w:pPr>
      <w:r>
        <w:rPr/>
        <w:t>Commercial Structure</w:t>
      </w:r>
    </w:p>
    <w:p>
      <w:pPr>
        <w:pStyle w:val="Heading4"/>
        <w:ind w:hanging="0" w:start="0"/>
        <w:rPr/>
      </w:pPr>
      <w:r>
        <w:rPr/>
        <w:t>PPA</w:t>
      </w:r>
    </w:p>
    <w:p>
      <w:pPr>
        <w:pStyle w:val="Heading5"/>
        <w:numPr>
          <w:ilvl w:val="4"/>
          <w:numId w:val="5"/>
        </w:numPr>
        <w:ind w:hanging="0" w:start="0"/>
        <w:rPr/>
      </w:pPr>
      <w:r>
        <w:rPr/>
        <w:t>General Terms and Conditions</w:t>
      </w:r>
    </w:p>
    <w:p>
      <w:pPr>
        <w:pStyle w:val="Normal"/>
        <w:rPr/>
      </w:pPr>
      <w:r>
        <w:rPr/>
        <w:t>The PPA was entered into on November 17, 1997, between the Power Plant</w:t>
      </w:r>
      <w:r>
        <w:rPr>
          <w:b/>
        </w:rPr>
        <w:t xml:space="preserve"> </w:t>
      </w:r>
      <w:r>
        <w:rPr/>
        <w:t xml:space="preserve">as the seller, Eletronorte as the purchaser, and Eletrobrás as the guarantor.  These parties entered into an Assumption Agreement with Furnas on April 27, 1999, whereby Furnas assumed all of Eletronorte’s rights and obligations under the PPA. </w:t>
      </w:r>
    </w:p>
    <w:p>
      <w:pPr>
        <w:pStyle w:val="Normal"/>
        <w:rPr/>
      </w:pPr>
      <w:r>
        <w:rPr/>
        <w:t>The PPA has a term of 21 years, providing for 20 years of power sales from the commencement of the first commercial phase.  This term may be extended by mutual consent.  The obligations of the parties commenced on May 4, 1998, the date of ratification of the PPA by the Agência Nacional de Energia Elétrica (“ANEEL”).</w:t>
      </w:r>
    </w:p>
    <w:p>
      <w:pPr>
        <w:pStyle w:val="Heading5"/>
        <w:numPr>
          <w:ilvl w:val="4"/>
          <w:numId w:val="5"/>
        </w:numPr>
        <w:ind w:hanging="0" w:start="0"/>
        <w:rPr/>
      </w:pPr>
      <w:r>
        <w:rPr/>
        <w:t>Tariff Structure</w:t>
      </w:r>
    </w:p>
    <w:p>
      <w:pPr>
        <w:pStyle w:val="Normal"/>
        <w:rPr/>
      </w:pPr>
      <w:r>
        <w:rPr/>
        <w:t>Pursuant to the PPA, the Power Plant guarantees firm capacities in three escalating generation phases of 150 MW in Phase I by April 1999, an average daily commitment of 157 MW and up to 300 MW in Phase II by January 2001, and 480 MW during Phase III commencing July 2001.  The level of guaranteed capacity is stepped up to the next phase as additional capacity is brought on-line and as the Power Plant is converted from diesel to gas.</w:t>
      </w:r>
      <w:r>
        <w:rPr>
          <w:b/>
        </w:rPr>
        <w:t xml:space="preserve">  </w:t>
      </w:r>
      <w:r>
        <w:rPr/>
        <w:t>The Power Plant is required to be using gas for 300 MW by May 2000 and 480 MW by May 2001.  Failure to achieve guaranteed capacity (120 MW, 240 MW and 450 MW for Phases I, II and III, respectively) is an event of default that can lead to termination of the PPA.  As discussed previously, due to the delays in the Pipeline Project, the Power Plant will likely declare a force majeure in connection with complying with the requirement regarding use of natural gas. Notwithstanding, Furnas has requested that the Power Plant proceed with Phase II of the Power Plant on the basis of diesel.  Subject to a negotiation regarding price adjustments to account for use of diesel as opposed to gas, Enron is likely to proceed with Phase II using diesel.</w:t>
      </w:r>
    </w:p>
    <w:p>
      <w:pPr>
        <w:pStyle w:val="Normal"/>
        <w:rPr/>
      </w:pPr>
      <w:r>
        <w:rPr/>
        <w:t xml:space="preserve">Furnas must pay the Power Plant on a monthly basis, in arrears, a tariff (in R$/MW/month) for guaranteed capacity made available (the “Capacity Tariff”) and a tariff (in R$/MWh) for energy delivered (the “Energy Tariff”) (together the “PPA tariffs”) depending upon the actual availability and output of the Power Plant.  As discussed earlier, however, it should be noted that almost all of the Power Plant’s fixed and variable costs are covered by the capacity payments, ensuring highly stable and predictable cash flows for the Project and minimal exposure to dispatch risk.  In certain circumstances, such as the triggering of force majeure provisions, non-dispatch or emergencies affecting Furnas, the Capacity Tariffs are paid when the Power Plant is not available or not generating.  Monthly tariff payments are made 30 days following the invoice date by withdrawals from a special account.  </w:t>
      </w:r>
    </w:p>
    <w:p>
      <w:pPr>
        <w:pStyle w:val="Normal"/>
        <w:rPr/>
      </w:pPr>
      <w:r>
        <w:rPr/>
        <w:t xml:space="preserve">Detailed capacity and energy payment information is available in the financial projections included herein relating to the Cuiabá Project.  The PPA provides for the automatic adjustment of tariffs according to the following specific mechanisms: </w:t>
      </w:r>
    </w:p>
    <w:p>
      <w:pPr>
        <w:pStyle w:val="Normal"/>
        <w:rPr/>
      </w:pPr>
      <w:r>
        <w:rPr/>
        <w:t>The PPA provides for automatic adjustment of the tariffs according to two specific mechanisms: (a) an annual adjustment for Brazilian inflation, according to the IGP-DI index, and (b) an automatic correction of the gas-related components of the tariff whenever there is a cumulative devaluation or revaluation of the Brazilian Real against the US dollar of five percent or more.</w:t>
      </w:r>
    </w:p>
    <w:p>
      <w:pPr>
        <w:pStyle w:val="Normal"/>
        <w:rPr/>
      </w:pPr>
      <w:r>
        <w:rPr/>
        <w:t>The PPA also provides for exceptional adjustments to any component of the tariff in order to restore the initial “economic equilibrium” of the contract.  The “economic equilibrium” concept is a bilateral right granted under the Brazilian Constitution and statutory law.  Broadly, tariffs may be modified on a “fast track” basis (i.e. by the time of the next tariff payment date) to take account of unforeseen events outside the commercial control of the parties, such as macroeconomic changes, including movements in exchange rates.  To date, the PPA tariffs have been adjusted twice to restore the initial “economic equilibrium” of the contract – once for changes in Brazilian taxes, and once for the January 1999 Real devaluation.</w:t>
      </w:r>
    </w:p>
    <w:p>
      <w:pPr>
        <w:pStyle w:val="Heading5"/>
        <w:numPr>
          <w:ilvl w:val="4"/>
          <w:numId w:val="5"/>
        </w:numPr>
        <w:ind w:hanging="0" w:start="0"/>
        <w:rPr/>
      </w:pPr>
      <w:r>
        <w:rPr/>
        <w:t>Security Structure</w:t>
      </w:r>
    </w:p>
    <w:p>
      <w:pPr>
        <w:pStyle w:val="Normal"/>
        <w:rPr/>
      </w:pPr>
      <w:r>
        <w:rPr/>
        <w:t>Eletrobrás has committed to guarantee all of Furnas’ obligations under the PPA, including: (a) reimbursement of the cost of diesel during the Power Plant’s Phase I (and, subject to further negotiation, during a part of Phase II until GasMat is completed); and (b) indirectly, the monthly PPA Tariff payments.</w:t>
      </w:r>
    </w:p>
    <w:p>
      <w:pPr>
        <w:pStyle w:val="Normal"/>
        <w:rPr/>
      </w:pPr>
      <w:r>
        <w:rPr/>
        <w:t>There are Eletrobrás covenants that deal principally with the impact of restructuring of Furnas or Eletrobrás as part of the current privatization process.  In such event, the successor entity(ies) of Furnas or Eletrobrás must assume without interruption the equivalent contractual commitments and guarantee obligations in a form and with supporting security that is satisfactory to the Power Plant, or their obligations will be assumed by the Federal Government.</w:t>
      </w:r>
    </w:p>
    <w:p>
      <w:pPr>
        <w:pStyle w:val="Normal"/>
        <w:rPr/>
      </w:pPr>
      <w:r>
        <w:rPr/>
        <w:t>As security, the PPA provides for an escrow account to hold receivables, cash, cash equivalents and privatization notes (ELETs) equal in value, beginning in the Power Plant’s Phase II, to four times the highest monthly obligation payable by Furnas in a given year under the PPA.</w:t>
      </w:r>
    </w:p>
    <w:p>
      <w:pPr>
        <w:pStyle w:val="Heading4"/>
        <w:ind w:hanging="0" w:start="0"/>
        <w:rPr/>
      </w:pPr>
      <w:r>
        <w:rPr/>
        <w:t>Gas Supply Agreement</w:t>
      </w:r>
    </w:p>
    <w:p>
      <w:pPr>
        <w:pStyle w:val="Heading5"/>
        <w:numPr>
          <w:ilvl w:val="4"/>
          <w:numId w:val="5"/>
        </w:numPr>
        <w:ind w:hanging="0" w:start="0"/>
        <w:rPr/>
      </w:pPr>
      <w:r>
        <w:rPr/>
        <w:t>TBS Supply Obligation</w:t>
      </w:r>
    </w:p>
    <w:p>
      <w:pPr>
        <w:pStyle w:val="Normal"/>
        <w:rPr/>
      </w:pPr>
      <w:r>
        <w:rPr/>
        <w:t>The Power Plant has entered into a Gas Supply Agreement with TBS. The Gas Supply Agreement is for a term of 19 years and was designed to be coterminous with the PPA.  The Gas Supply Agreement provides for a 201 day commissioning period preceding the contract term, during which the Power Plant will be commissioned.</w:t>
      </w:r>
    </w:p>
    <w:p>
      <w:pPr>
        <w:pStyle w:val="Normal"/>
        <w:rPr/>
      </w:pPr>
      <w:r>
        <w:rPr/>
        <w:t>Under the Gas Supply Agreement, the Power Plant has the right to request delivery of up to 80,800 MMBtu/day of gas, which is expected to be the maximum quantity of gas that the Power Plant can consume during a day when operating at its peak.  If TBS fails to deliver the gas that the Power Plant requests, TBS is liable to the Power Plant for its incremental cost of purchasing and transporting alternative fuels.  If the Power Plant is unable to purchase alternative fuels, TBS is liable for certain damages that the Power Plant incurs under the PPA.</w:t>
      </w:r>
    </w:p>
    <w:p>
      <w:pPr>
        <w:pStyle w:val="Heading5"/>
        <w:numPr>
          <w:ilvl w:val="4"/>
          <w:numId w:val="5"/>
        </w:numPr>
        <w:ind w:hanging="0" w:start="0"/>
        <w:rPr/>
      </w:pPr>
      <w:r>
        <w:rPr/>
        <w:t>TBS Tariff</w:t>
      </w:r>
    </w:p>
    <w:p>
      <w:pPr>
        <w:pStyle w:val="Normal"/>
        <w:rPr/>
      </w:pPr>
      <w:r>
        <w:rPr/>
        <w:t>Each month, the Power Plant will pay TBS a contract price consisting of two components.  The first is a variable component, which is a per MMBtu price payable on the quantities of gas that the Power Plant receives during such month, provided that the Power Plant is obligated to take at least 80% of the sum of the maximum daily quantities for such month, reduced for scheduled maintenance and quantities not received as a result of force majeure.  The second component is a fixed component payable regardless of the quantities of gas the Power Plant consumes during the month.</w:t>
      </w:r>
    </w:p>
    <w:p>
      <w:pPr>
        <w:pStyle w:val="Heading5"/>
        <w:numPr>
          <w:ilvl w:val="4"/>
          <w:numId w:val="5"/>
        </w:numPr>
        <w:ind w:hanging="0" w:start="0"/>
        <w:rPr/>
      </w:pPr>
      <w:r>
        <w:rPr/>
        <w:t>TBS  Gas Purchase Agreements and Options</w:t>
      </w:r>
    </w:p>
    <w:p>
      <w:pPr>
        <w:pStyle w:val="Normal"/>
        <w:rPr/>
      </w:pPr>
      <w:r>
        <w:rPr/>
        <w:t>TBS has the right to acquire between 75% and 100% of the natural gas requirements of the Power Plant from Repsol YPF-Andina.  TBS is free to contract or purchase the other 25% on a rolling six month basis.  For contracts longer than six months, the 25% option is subject to a right of first match (on identical terms and price) by Repsol YPF</w:t>
        <w:noBreakHyphen/>
        <w:t>Andina.  This freedom on the 25% provides substantial flexibility to TBS to seek additional income from sourcing regional gas supply at lower rates as well as an important mechanism for gas price discovery in the region on a continuous basis.</w:t>
      </w:r>
    </w:p>
    <w:p>
      <w:pPr>
        <w:pStyle w:val="Normal"/>
        <w:rPr/>
      </w:pPr>
      <w:r>
        <w:rPr/>
        <w:t>Under the agreement with Repsol YPF-Andina, TBS has contracted the right to acquire a maximum of [2.374 MMCM/d].  [Confirm the figure].  TBS must pay US$1.20/MMBtu (the “Reference Price”) with an obligation to pay for 55% of the maximum volume on a “take or pay” basis.  The Reference Price is adjusted to reflect changes in WTI, which on the date of the setting of the Reference Price was $19.25 per barrel.  The Reference Price, however, has a cap and floor of US$1.30 and US$1.08 MMBtu, respectively, which are adjusted annually at the lower of 2% or US PPI.</w:t>
      </w:r>
    </w:p>
    <w:p>
      <w:pPr>
        <w:pStyle w:val="Heading4"/>
        <w:ind w:hanging="0" w:start="0"/>
        <w:rPr/>
      </w:pPr>
      <w:r>
        <w:rPr/>
        <w:t>Transportation Agreements</w:t>
      </w:r>
    </w:p>
    <w:p>
      <w:pPr>
        <w:pStyle w:val="Normal"/>
        <w:rPr/>
      </w:pPr>
      <w:r>
        <w:rPr/>
        <w:t xml:space="preserve">TBS’s firm transportation agreements have terms that are at least as long as that of the Power Plant Gas Supply Agreement.  The first agreement is with Transredes.  Transredes will transport Argentine gas delivered at the Argentine-Bolivian border to Río Grande, Bolivia.  Second, TBS has a transportation agreement with GTB whereby GTB will transport Argentine and Bolivian gas supplies transported to Río Grande by Transredes and the Bolivian gas delivered at Río Grande to the interconnection between the Bolivia-Brazil Pipeline and the Project Pipeline.  Finally, TBS has contracted with GasBol and GasMat for the firm transportation of gas through their respective sections of the Project Pipeline to the Power Plant.  </w:t>
      </w:r>
    </w:p>
    <w:p>
      <w:pPr>
        <w:pStyle w:val="Normal"/>
        <w:rPr/>
      </w:pPr>
      <w:r>
        <w:rPr/>
        <w:t xml:space="preserve">Until </w:t>
      </w:r>
      <w:r>
        <w:rPr>
          <w:lang w:val="pt-BR"/>
        </w:rPr>
        <w:t>the Project Pipeline is fully operational, the Power Plant is operating on diesel fuel.  This diesel is bought from Petrobrás and shipped to Cuiabá.  Several companies have expressed an interest in providing the diesel for the next 150 MW of Phase II that is expected to come on-line in June as per the PPA.</w:t>
      </w:r>
    </w:p>
    <w:p>
      <w:pPr>
        <w:pStyle w:val="Normal"/>
        <w:rPr>
          <w:lang w:val="pt-BR"/>
        </w:rPr>
      </w:pPr>
      <w:r>
        <w:rPr>
          <w:lang w:val="pt-BR"/>
        </w:rPr>
        <w:t>In connection with the delays on GasMat, TBS will declare a force majeure on both the delivery and purchasing of gas.  Since there are mirror force majeure provisions in the Gas Supply, Transportation and Power Purchase Agreements, there are not expected to be any penalties imposed.  The Project Pipeline is expected to be fully operational by October 2000.</w:t>
      </w:r>
    </w:p>
    <w:p>
      <w:pPr>
        <w:pStyle w:val="Heading4"/>
        <w:ind w:hanging="0" w:start="0"/>
        <w:rPr/>
      </w:pPr>
      <w:r>
        <w:rPr/>
        <w:t>Operating Agreement</w:t>
      </w:r>
    </w:p>
    <w:p>
      <w:pPr>
        <w:pStyle w:val="Normal"/>
        <w:rPr>
          <w:lang w:val="pt-BR"/>
        </w:rPr>
      </w:pPr>
      <w:r>
        <w:rPr>
          <w:lang w:val="pt-BR"/>
        </w:rPr>
        <w:t xml:space="preserve">The Power Plant will be operated by Enron pursuant to an O &amp; M Agreement.  Such agreement provides for the payment of US$900,000 per year by the Power Plant to an Enron affiliate.  Such amount is escalated by U.S. CPI.  </w:t>
      </w:r>
    </w:p>
    <w:p>
      <w:pPr>
        <w:pStyle w:val="Normal"/>
        <w:rPr>
          <w:lang w:val="pt-BR"/>
        </w:rPr>
      </w:pPr>
      <w:r>
        <w:rPr>
          <w:lang w:val="pt-BR"/>
        </w:rPr>
        <w:t>GasMat and GasBol are operated by Transredes (controlled by Enron and Shell).</w:t>
      </w:r>
    </w:p>
    <w:p>
      <w:pPr>
        <w:pStyle w:val="Normal"/>
        <w:rPr>
          <w:lang w:val="pt-BR"/>
        </w:rPr>
      </w:pPr>
      <w:r>
        <w:rPr>
          <w:lang w:val="pt-BR"/>
        </w:rPr>
        <w:t>The O&amp;M agreement for the Project Pipeline provides for the provision of services incuding operation and maintenance, accounting (gas and financial) and regulatory, compliance and reporting.  All direct O&amp;M expenses are recovered through an annual budgeting process.  Other amounts payable to Transredes are as follows [SPECIFY DATE OF VALUES]:</w:t>
      </w:r>
    </w:p>
    <w:p>
      <w:pPr>
        <w:pStyle w:val="Bmed1st1"/>
        <w:numPr>
          <w:ilvl w:val="0"/>
          <w:numId w:val="3"/>
        </w:numPr>
        <w:spacing w:before="0" w:after="110"/>
        <w:ind w:hanging="0" w:start="0"/>
        <w:rPr>
          <w:lang w:val="pt-BR"/>
        </w:rPr>
      </w:pPr>
      <w:r>
        <w:rPr>
          <w:lang w:val="pt-BR"/>
        </w:rPr>
        <w:t>Overhead allowance of US$625,000 per year;</w:t>
      </w:r>
    </w:p>
    <w:p>
      <w:pPr>
        <w:pStyle w:val="Bmed1st1"/>
        <w:numPr>
          <w:ilvl w:val="0"/>
          <w:numId w:val="3"/>
        </w:numPr>
        <w:spacing w:before="0" w:after="110"/>
        <w:ind w:hanging="0" w:start="0"/>
        <w:rPr>
          <w:lang w:val="pt-BR"/>
        </w:rPr>
      </w:pPr>
      <w:r>
        <w:rPr>
          <w:lang w:val="pt-BR"/>
        </w:rPr>
        <w:t xml:space="preserve">Operating Fee of US$422,000 per year; and </w:t>
      </w:r>
    </w:p>
    <w:p>
      <w:pPr>
        <w:pStyle w:val="Bmed1st1"/>
        <w:numPr>
          <w:ilvl w:val="0"/>
          <w:numId w:val="3"/>
        </w:numPr>
        <w:ind w:hanging="0" w:start="0"/>
        <w:rPr>
          <w:lang w:val="pt-BR"/>
        </w:rPr>
      </w:pPr>
      <w:r>
        <w:rPr>
          <w:lang w:val="pt-BR"/>
        </w:rPr>
        <w:t>Expansion fee (GasBol only) of US$400,000 per year.</w:t>
      </w:r>
    </w:p>
    <w:p>
      <w:pPr>
        <w:pStyle w:val="Normal"/>
        <w:rPr/>
      </w:pPr>
      <w:r>
        <w:rPr/>
        <w:t>All of the above amounts are escalated at U.S. CPI.</w:t>
      </w:r>
    </w:p>
    <w:p>
      <w:pPr>
        <w:pStyle w:val="Heading3"/>
        <w:ind w:hanging="0" w:start="0"/>
        <w:rPr/>
      </w:pPr>
      <w:r>
        <w:rPr/>
        <w:t>Ownership and Governance</w:t>
      </w:r>
    </w:p>
    <w:p>
      <w:pPr>
        <w:pStyle w:val="BLKmed1st1"/>
        <w:rPr>
          <w:lang w:val="pt-BR"/>
        </w:rPr>
      </w:pPr>
      <w:r>
        <w:rPr>
          <w:lang w:val="pt-BR"/>
        </w:rPr>
        <w:t>While ownership of the different component parts of the Cuiabá Project is shared in different proportions between Enron, Shell and Transredes, Enron is the majority or largest (direct and indirect) shareholder in each individual part.  In addition, Enron, through an affiliate, will operate and maintain the Power Plant.  Transredes will operate and maintain the Project Pipeline.  Enron Engineering and Construction Corporation (“EE&amp;CC”) is the turnkey construction contractor for the Power Plant and the Project Pipeline.</w:t>
      </w:r>
    </w:p>
    <w:p>
      <w:pPr>
        <w:pStyle w:val="Heading4"/>
        <w:ind w:hanging="0" w:start="0"/>
        <w:rPr>
          <w:lang w:val="pt-BR"/>
        </w:rPr>
      </w:pPr>
      <w:r>
        <w:rPr/>
        <w:t>Ownership Structure</w:t>
      </w:r>
    </w:p>
    <w:p>
      <w:pPr>
        <w:pStyle w:val="Bmed1st1"/>
        <w:numPr>
          <w:ilvl w:val="0"/>
          <w:numId w:val="0"/>
        </w:numPr>
        <w:ind w:hanging="0" w:start="0"/>
        <w:rPr>
          <w:lang w:val="pt-BR"/>
        </w:rPr>
      </w:pPr>
      <w:r>
        <w:rPr>
          <w:lang w:val="pt-BR"/>
        </w:rPr>
        <w:t>The ownership structure of each asset of the Cuiabá Project is as follows:</w:t>
      </w:r>
    </w:p>
    <w:p>
      <w:pPr>
        <w:pStyle w:val="Bmed1st1"/>
        <w:numPr>
          <w:ilvl w:val="0"/>
          <w:numId w:val="0"/>
        </w:numPr>
        <w:ind w:hanging="0" w:start="0"/>
        <w:jc w:val="center"/>
        <w:rPr>
          <w:lang w:val="pt-BR"/>
        </w:rPr>
      </w:pPr>
      <w:bookmarkStart w:id="0" w:name="_1015424261"/>
      <w:bookmarkStart w:id="1" w:name="_1015373198"/>
      <w:bookmarkStart w:id="2" w:name="_1015125235"/>
      <w:bookmarkStart w:id="3" w:name="_1015123015"/>
      <w:bookmarkStart w:id="4" w:name="_1014801793"/>
      <w:bookmarkStart w:id="5" w:name="_1013791542"/>
      <w:bookmarkStart w:id="6" w:name="_1013368109"/>
      <w:bookmarkStart w:id="7" w:name="_1013280917"/>
      <w:bookmarkStart w:id="8" w:name="_1013276793"/>
      <w:bookmarkStart w:id="9" w:name="_1013016131"/>
      <w:bookmarkStart w:id="10" w:name="_1013008180"/>
      <w:bookmarkStart w:id="11" w:name="_1013007875"/>
      <w:bookmarkStart w:id="12" w:name="_1013007510"/>
      <w:bookmarkStart w:id="13" w:name="_1013005755"/>
      <w:bookmarkStart w:id="14" w:name="_1013005380"/>
      <w:bookmarkStart w:id="15" w:name="_1013005327"/>
      <w:bookmarkStart w:id="16" w:name="_1013003384"/>
      <w:bookmarkStart w:id="17" w:name="_1013002855"/>
      <w:bookmarkStart w:id="18" w:name="_1013002635"/>
      <w:bookmarkStart w:id="19" w:name="_1012995090"/>
      <w:bookmarkStart w:id="20" w:name="_1012987652"/>
      <w:bookmarkStart w:id="21" w:name="_1012987483"/>
      <w:bookmarkStart w:id="22" w:name="_10129847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lang w:val="pt-BR"/>
        </w:rPr>
        <w:object w:dxaOrig="5041" w:dyaOrig="838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19.5pt;height:365.5pt" filled="f" o:ole="">
            <v:imagedata r:id="rId4" o:title=""/>
          </v:shape>
          <o:OLEObject Type="Embed" ProgID="" ShapeID="ole_rId3" DrawAspect="Content" ObjectID="_1655700903" r:id="rId3"/>
        </w:object>
      </w:r>
    </w:p>
    <w:p>
      <w:pPr>
        <w:pStyle w:val="Heading4"/>
        <w:ind w:hanging="0" w:start="0"/>
        <w:rPr/>
      </w:pPr>
      <w:r>
        <w:rPr/>
        <w:t>GasBol</w:t>
      </w:r>
    </w:p>
    <w:p>
      <w:pPr>
        <w:pStyle w:val="Normal"/>
        <w:rPr>
          <w:u w:val="single"/>
        </w:rPr>
      </w:pPr>
      <w:r>
        <w:rPr>
          <w:u w:val="single"/>
        </w:rPr>
        <w:t>Ownership</w:t>
      </w:r>
    </w:p>
    <w:p>
      <w:pPr>
        <w:pStyle w:val="Normal"/>
        <w:rPr/>
      </w:pPr>
      <w:r>
        <w:rPr/>
        <w:t>Gas Bol was formed for the purpose of owning and operating the Bolivian Spur.  Enron International Bolivia Holdings Ltd. ("EIBH"), Shell Gas (Latin America) B.V. ("SGLA"), Transredes-Transporte de Hidrocarburos S.A. ("Transredes") and GasBol entered into a Quota Purchase and Quotaholders Agreement in October 1998 (the "Quota Purchase Agreement"), whereby EIBH assigned 20% of the quotas in GasBol to SGLA and 60% of the quotas in GasBol to Transredes. The current ownership of the quotas is as follows: EIBH (20%), SGLA (20%) and Transredes (60%).</w:t>
      </w:r>
    </w:p>
    <w:p>
      <w:pPr>
        <w:pStyle w:val="Normal"/>
        <w:rPr>
          <w:u w:val="single"/>
        </w:rPr>
      </w:pPr>
      <w:r>
        <w:rPr>
          <w:u w:val="single"/>
        </w:rPr>
        <w:t>Management</w:t>
      </w:r>
    </w:p>
    <w:p>
      <w:pPr>
        <w:pStyle w:val="Normal"/>
        <w:rPr/>
      </w:pPr>
      <w:r>
        <w:rPr/>
        <w:t>The management structure of GasBol is specified for three different periods, the Development Period, the Interim Period and the Operations Period.  The Development Period commenced in October 1998 and ends on the date of commercial operation of Phase III of the Power Plant.  The Interim Period runs from the commencement of commercial operation of Phase III of the Power Plant and ends on the fourth anniversary thereof.  The Operations Period commences on the fourth anniversary of the commencement of commercial operations of the Bolivian Spur.</w:t>
      </w:r>
    </w:p>
    <w:p>
      <w:pPr>
        <w:pStyle w:val="Normal"/>
        <w:rPr/>
      </w:pPr>
      <w:r>
        <w:rPr/>
        <w:t>During the Development Period, the Assembly of Quotaholders (which is the assembly of quotaholders of GasBol) acting by unanimous vote has authority to manage the operations and activities of GasBol. Transredes has the right to nominate the chairman of the Assembly of Quotaholders. EIBH will serve as the administrator of GasBol for so long as EIBH holds at least 20% of the quotas of GasBol.  The administrator manages and controls the day-to-day business of GasBol, including the designation and management of personnel responsible for the supervision of the Bolivian Spur. The administrator appoints the project director, who is a representative of the administrator and who has the authority to take actions delegated to it by the administrator.</w:t>
      </w:r>
    </w:p>
    <w:p>
      <w:pPr>
        <w:pStyle w:val="Normal"/>
        <w:rPr/>
      </w:pPr>
      <w:r>
        <w:rPr/>
        <w:t>During the Interim Period, the Assembly of Quotaholders acting by vote of the quotaholders holding a majority in interest (51%) of the quotas, has full authority to manage the operations and activities of GasBol. Certain major decisions such as amendments to the organizational documents of GasBol, the merger of GasBol or the sale of all or substantially all of the assets of GasBol require an affirmative vote of the holders of two-thirds of the quotas. The quotaholders agree to appoint a nominee to the Assembly of Quotaholders appointed by Transredes as chairman of the Assembly of Quotaholders. The quotaholders agree to appoint the individual nominated by EIBH to serve as the project director. The project director will have the power, authority, responsibility and duty to manage and control the day-to-day business of GasBol, including the designation and management of personnel responsible for the supervision of the Bolivian Spur.</w:t>
      </w:r>
    </w:p>
    <w:p>
      <w:pPr>
        <w:pStyle w:val="Normal"/>
        <w:rPr/>
      </w:pPr>
      <w:r>
        <w:rPr/>
        <w:t>During the Operations Period, the Assembly of Quotaholders acting by vote of the quotaholders holding a majority in interest (51%) of the quotas, has full authority to manage the operations and activities of GasBol. Certain major decisions such as amendments to the organizational documents of GasBol, the merger of GasBol or the sale of all or substantially all of the assets of GasBol require an affirmative vote of the holders of two-thirds of the quotas.  The quotaholders will appoint the chairman of the Assembly of Quotaholders and the project director. The project director shall have the power, authority, responsibility and duty to manage and control the day-to-day business of GasBol, including the designation and management of personnel responsible for the supervision of the Bolivian Spur.</w:t>
      </w:r>
    </w:p>
    <w:p>
      <w:pPr>
        <w:pStyle w:val="Normal"/>
        <w:rPr/>
      </w:pPr>
      <w:r>
        <w:rPr/>
        <w:t>Certain actions are reserved to the Assembly of Quotaholders such as the sale, assignment, transfer, conveyance or other disposition, or mortgage, pledge, grant of a security interest or other adverse interest, encumbrance or collateral assignment, of or in all or any part of the Bolivian Spur or the assets of GasBol or the acquisition of any corporation, partnership or other juridical person or the acquisition of the assets of any such person, except in the ordinary course of business.</w:t>
      </w:r>
    </w:p>
    <w:p>
      <w:pPr>
        <w:pStyle w:val="Normal"/>
        <w:rPr/>
      </w:pPr>
      <w:r>
        <w:rPr/>
        <w:t>Under the Quotaholders' Agreement, if TransBorder Gas Services Ltd. requests that the capacity of the Bolivian Spur be expanded to permit TBS to enter into firm transportation agreements for such expansion capacity, then EIBH, SGLA and Transredes will cause GasBol to effect such expansion. If one of the quotaholders disagrees with such expansion, the other quotaholders can proceed at their expense, and the disagreeing quotaholder's ownership of GasBol will be diluted.</w:t>
      </w:r>
    </w:p>
    <w:p>
      <w:pPr>
        <w:pStyle w:val="Normal"/>
        <w:rPr/>
      </w:pPr>
      <w:r>
        <w:rPr/>
        <w:t>The Articles of Association state that the management and administration of the company shall be the responsibility of the administrator, who shall be a quotaholder appointed by the Assembly of Quotaholders.</w:t>
      </w:r>
    </w:p>
    <w:p>
      <w:pPr>
        <w:pStyle w:val="Heading4"/>
        <w:ind w:hanging="0" w:start="0"/>
        <w:rPr/>
      </w:pPr>
      <w:r>
        <w:rPr/>
        <w:t>EPE/EPE Holdings Ltd./EPE Investments Ltd</w:t>
      </w:r>
    </w:p>
    <w:p>
      <w:pPr>
        <w:pStyle w:val="Normal"/>
        <w:rPr>
          <w:u w:val="single"/>
        </w:rPr>
      </w:pPr>
      <w:r>
        <w:rPr>
          <w:u w:val="single"/>
        </w:rPr>
        <w:t>Ownership</w:t>
      </w:r>
    </w:p>
    <w:p>
      <w:pPr>
        <w:pStyle w:val="Normal"/>
        <w:rPr/>
      </w:pPr>
      <w:r>
        <w:rPr/>
        <w:t>EPE was formed for the purpose of owning and operating the Power Plant. In 1998, Enron Electric Power Brazil C.V.("EEPB") and certain of its affiliates sold and assigned a 21.9% equity interest in EPE to Shell Generating Limited (this interest was subsequently assigned to Shell Cuiaba Holdings Limited ("SCHL")), and Enron Bolivia C.V. ("EBCV")and certain of its affiliates sold and assigned a 12.5% equity interest in EPE to Transredes. In October 1999, a 13% equity interest in EPE was sold by Enron do Brazil Holdings Ltd. ("EDBH") to LJM BrazilCo. ("LJM").</w:t>
      </w:r>
    </w:p>
    <w:p>
      <w:pPr>
        <w:pStyle w:val="Normal"/>
        <w:rPr/>
      </w:pPr>
      <w:r>
        <w:rPr/>
        <w:t xml:space="preserve">EPE Holdings, Ltd., a Cayman Islands company ("EPE Holdings") was formed in late 1999 in connection with the financing to be provided to the Cuiaba Project by OPIC and KfW.  At such time, the current shareholders of EPE transfered all of their direct equity interests in EPE to EPE Holdings and were issued proportionate equity interests in EPE Holdings.  </w:t>
      </w:r>
    </w:p>
    <w:p>
      <w:pPr>
        <w:pStyle w:val="Normal"/>
        <w:rPr/>
      </w:pPr>
      <w:r>
        <w:rPr/>
        <w:t xml:space="preserve">EPE Holdings currently owns 100% of the quotas in EPE (less the nominal interest referred to below), 99% directly, and 1% indirectly though its wholly-owned and controlled subsidiary, EPE Investments, Ltd. ("EPE Investments"), also a Cayman Islands company.  In connection with the financing provided by OPIC and KfW, a nominal interest (2 of 1,700, 502,495 quotas) has been transfered to Interjuris s/c Ltda. to be held pursuant to an escrow agreement for the term of the financing. EDBH, SCHL, Transredes and LJM are the current shareholders of EPE Holdings with EDBH holding a  52.6% interest, SCHL holding a 21.9% interest, Transredes holding a 12.5% interest, and LJM holding a 13% interest. </w:t>
      </w:r>
    </w:p>
    <w:p>
      <w:pPr>
        <w:pStyle w:val="Normal"/>
        <w:rPr/>
      </w:pPr>
      <w:r>
        <w:rPr/>
        <w:t xml:space="preserve">In connection with the OPIC/KfW financing, all of the quotas in EPE have been and all of the shares of EPE Holdings and EPE Investments will be pledged by the respective quotaholders or members to the collateral agents to be held as security on behalf of the lenders for the term of the financing. </w:t>
      </w:r>
    </w:p>
    <w:p>
      <w:pPr>
        <w:pStyle w:val="Normal"/>
        <w:rPr>
          <w:u w:val="single"/>
        </w:rPr>
      </w:pPr>
      <w:r>
        <w:rPr>
          <w:u w:val="single"/>
        </w:rPr>
        <w:t>Management</w:t>
      </w:r>
    </w:p>
    <w:p>
      <w:pPr>
        <w:pStyle w:val="Normal"/>
        <w:rPr/>
      </w:pPr>
      <w:r>
        <w:rPr/>
        <w:t xml:space="preserve">The Articles of Association of EPE Holdings provide that EDBH is entitled to appoint 2 directors, SCHL is entitled to appoint one director, and LJM is entitled to appoint one director. If LJM transfers a majority of its shares, its right to appoint a director shall pass to the transferee of the shares. </w:t>
      </w:r>
    </w:p>
    <w:p>
      <w:pPr>
        <w:pStyle w:val="Normal"/>
        <w:rPr/>
      </w:pPr>
      <w:r>
        <w:rPr/>
        <w:t xml:space="preserve">The Articles of Association of EPE Holdings provide that the directors and members of EPE Holdings will procure that the directors exercise any rights that EPE Holdings may have in EPE Investments and EPE to procure that the directors or managers and the alternates for such directors or managers of EPE Investments and of EPE, respectively, will from time to time comprise the same persons as the Board of Directors of EPE Holdings.  However, with respect to one of the directors of EPE Holdings appointed by EDBH, such director may nominate a different person, who shall be a Brazilian resident, to serve in his stead as a director or manager of EPE.  </w:t>
      </w:r>
    </w:p>
    <w:p>
      <w:pPr>
        <w:pStyle w:val="Normal"/>
        <w:rPr/>
      </w:pPr>
      <w:r>
        <w:rPr/>
        <w:t>The Articles of Association of EPE Holdings provide for a vote by a two-third majority of all of the members entitled to vote to approve certain decisions such as division of property upon the winding up of the company and amendments to the Memorandum or Articles of Association of the company.  The directors of EPE Holdings manage the business of EPE Holdings.</w:t>
      </w:r>
    </w:p>
    <w:p>
      <w:pPr>
        <w:pStyle w:val="Normal"/>
        <w:rPr/>
      </w:pPr>
      <w:r>
        <w:rPr/>
        <w:t xml:space="preserve">The remuneration of the directors of EPE Holdings, the directors of EPE Investments, and the directors and officers of EPE , any decision to sell, transfer, or charge any of the quotas in EPE, and decisions regarding bankruptcy, receivership or liquidation of  EPE Holdings will be made by unanimous resolution of the members of EPE Holdings.  The delegation of powers exercisable by the directors of EPE Holdings to a managing director requires a unanimous resolution of the directors. </w:t>
      </w:r>
    </w:p>
    <w:p>
      <w:pPr>
        <w:pStyle w:val="Normal"/>
        <w:rPr/>
      </w:pPr>
      <w:r>
        <w:rPr/>
        <w:t>The Articles of Association of EPE provide that EPE Holdings will have the right to appoint the directors of EPE, and the Articles of Association of EPE Investments provide that the directors of EPE Investments are appointed by resolution of the company, provided that the members shall and shall procure the directors to exercise their rights to procure that the Board of Directors of EPE Investments will be the same as the Board of Directors of EPE Holdings.</w:t>
      </w:r>
    </w:p>
    <w:p>
      <w:pPr>
        <w:pStyle w:val="Normal"/>
        <w:rPr/>
      </w:pPr>
      <w:r>
        <w:rPr/>
        <w:t>The Downstream Agreement (defined below) requires the Enron affiliate owning an interest in EPE to vote its interest in EPE in favor of the Shell affiliate owning an interest in EPE having a director's seat as long as Shell affiliate holds a direct interest in EPE.</w:t>
      </w:r>
    </w:p>
    <w:p>
      <w:pPr>
        <w:pStyle w:val="Normal"/>
        <w:rPr/>
      </w:pPr>
      <w:r>
        <w:rPr/>
        <w:t>EPE is administered and managed by EPE Holdings which performs such duties by delegation of power to the Board of Directors and officers.</w:t>
      </w:r>
    </w:p>
    <w:p>
      <w:pPr>
        <w:pStyle w:val="Normal"/>
        <w:rPr/>
      </w:pPr>
      <w:r>
        <w:rPr/>
        <w:t>The directors of EPE Holdings have the right to appoint the officers of EPE Holdings by resolution.</w:t>
      </w:r>
    </w:p>
    <w:p>
      <w:pPr>
        <w:pStyle w:val="Normal"/>
        <w:rPr/>
      </w:pPr>
      <w:r>
        <w:rPr/>
        <w:t xml:space="preserve">The directors of EPE have the right to appoint the officers of EPE. The officers are responsible for the management and conduction of the business of EPE in accordance with the powers granted by the Board of Directors. </w:t>
      </w:r>
    </w:p>
    <w:p>
      <w:pPr>
        <w:pStyle w:val="Normal"/>
        <w:rPr/>
      </w:pPr>
      <w:r>
        <w:rPr/>
        <w:t>The CEO of EPE can spend or commit EPE to spend (in one transaction or a series of transactions) without the approval of the Board of Directors (a) all amounts set forth in the Agreed Budget or in any annual operating budget approved by the Board of Directors and (b) with respect to amounts not set forth in the Agreed Budget or in any annual operating budget approved by the Board of Directors, $1,000,000.  The CEO provided that the CEO will not have the authority to spend an aggregate amount during any year that exceeds the greater of $5,000,000 or 5% of the amount set forth in the Agreed Budget for such year and applicable annual operating budget for such year.</w:t>
      </w:r>
    </w:p>
    <w:p>
      <w:pPr>
        <w:pStyle w:val="Normal"/>
        <w:rPr/>
      </w:pPr>
      <w:r>
        <w:rPr/>
        <w:t>The Articles of Association of EPE provide that any act performed by the officers to approve, request, or consent to the bankruptcy, receivership, etc. of EPE, requires the prior approval in writing of the quotaholders holding 100% of the quotas (including Interjuris s/c Ltda.).</w:t>
      </w:r>
    </w:p>
    <w:p>
      <w:pPr>
        <w:pStyle w:val="Normal"/>
        <w:rPr/>
      </w:pPr>
      <w:r>
        <w:rPr/>
        <w:t>The merger, consolidation or change of legal form of EPE , the admission of a new quotaholder of EPE or the exclusion of Interjuris s/c Ltda. as a quotaholder of EPE, , the undertaking or incurring of any indebtedness that is not "Permitted Indebtedness" under the OPIC/KfW financing documents, or any amendment to the Articles of Association of EPE relating to such matters or to the rights of the lenders or Interjuris s/c Ltda. require the prior approval in writing of the quotaholders holding the majority of the equity capital of EPE and also Interjuris s/c Ltda.</w:t>
      </w:r>
    </w:p>
    <w:p>
      <w:pPr>
        <w:pStyle w:val="Normal"/>
        <w:rPr/>
      </w:pPr>
      <w:r>
        <w:rPr/>
        <w:t>In addition, the letter agreement by which Enron affiliates sold a 21.9% equity interest in EPE to SCHL (successor by assignment from Shell Generating Limited)which is now also applicable to the equity interests in EPE Holdings (the "Shell Letter Agreement"), and an agreement between Enron affiliates and SCHL entitled the Downstream Agreement which was executed before the Cuiaba Project was commenced (the "Downstream Agreement") also contain provisions relating to management.  As both the Shell Letter Agreement and the Downstream Agreement were executed before the quotaholders of EPE transferred their direct interests in EPE to EPE Holdings, both the Shell Letter Agreement and the Downstream Agreement will be amended to achieve substantially the same results as in the original agreements taking into account the existence of EPE Holdings.</w:t>
      </w:r>
    </w:p>
    <w:p>
      <w:pPr>
        <w:pStyle w:val="Normal"/>
        <w:rPr/>
      </w:pPr>
      <w:r>
        <w:rPr/>
        <w:t>The Downstream Agreement gives the Enron affiliate the right to purchase all of SCHL's interests in EPE in the case of disagreement regarding voting on major decisions including the incurrence of any material indebtedness and the sale, assignment, transfer, conveyance or other disposition of all or substantially all or the mortgage, pledge, grant of a security interest or other adverse interest, encumbrance or collateral assignment of all or any material part of the assets of EPE; provided that the Enron affiliate (and any other quotaholder with which it has a voting agreement) and SCHL could have controlled such a vote.</w:t>
      </w:r>
    </w:p>
    <w:p>
      <w:pPr>
        <w:pStyle w:val="Normal"/>
        <w:rPr/>
      </w:pPr>
      <w:r>
        <w:rPr/>
        <w:t>The Shell Letter Agreement provides that for so long as the Shell Parent holds not less than 15% of the net economic interests in EPE, EDBH will not vote its interests or permit its representatives on the board of directors to vote in favor of certain issues without the consent of SCHL. Such issues include the sale or other disposition of all or substantially all of the assets of EPE , amendments to the constituent or organizational documents that would have a material adverse effect on SCHL, and certain acquisitions and mergers. If SCHL does not consent to such vote, EDBH has the right to purchase all of SCHL's interest in EPE , GasMat and TBS.</w:t>
      </w:r>
    </w:p>
    <w:p>
      <w:pPr>
        <w:pStyle w:val="Normal"/>
        <w:rPr/>
      </w:pPr>
      <w:r>
        <w:rPr/>
        <w:t>The letter agreement by which EDBH sold an equity interest in EPE to LJM which is now also applicable to the equity interests in EPE Holdings (the "LJM Letter Agreement") and the letter agreement by which EBCV and certain of its affiliates sold an equity interest in EPE to Transredes which is now also applicable to the equity interests in EPE Holdings (the "Transredes Letter Agreement") provide that upon consideration of any decision regarding a merger, consolidation, or similar amalgamation of EPE, a decision to dissolve or terminate EPE, or a decision to transfer all or substantially all of EPE's assets, unless otherwise agreed by LJM, or Transredes, as applicable,  EDBH will vote to submit such decision to a vote of the quotaholders of EPE which must be approved by a majority in interest of the quotaholders. As both the LJM Letter Agreement and the Transredes Letter Agreement were executed before the quotaholders of EPE transferred their direct interests in EPE to EPE Holdings, the LJM Letter Agreement and the Transredes Letter Agreement will be amended to achieve substantially the same results as in the original agreements taking into account the existence of EPE Holdings.</w:t>
      </w:r>
    </w:p>
    <w:p>
      <w:pPr>
        <w:pStyle w:val="Normal"/>
        <w:rPr/>
      </w:pPr>
      <w:r>
        <w:rPr/>
        <w:t>The Articles of Association of EPE Holdings and EPE, the Shell Letter Agreement, the Transredes Letter Agreement and the LJM Letter Agreement  all contain certain preemptive rights related to additional issuances of quotas or shares, as applicable, in EPE Holdings and/or EPE, as applicable.</w:t>
      </w:r>
    </w:p>
    <w:p>
      <w:pPr>
        <w:pStyle w:val="Normal"/>
        <w:rPr/>
      </w:pPr>
      <w:r>
        <w:rPr/>
        <w:t>The Shell Letter Agreement, the Transredes Letter Agreement and the LJM Agreement state that if additional funds are required for EPE in excess of the funding amounts originally agreed to by Shell, Transredes and LJM in such agreements, as applicable, EPE will have the right to issue additional capital. If the applicable shareholder does not subscribe for its prorata portion of the additional capital, it's ownership interest in EPE will be diluted.</w:t>
      </w:r>
    </w:p>
    <w:p>
      <w:pPr>
        <w:pStyle w:val="Heading4"/>
        <w:ind w:hanging="0" w:start="0"/>
        <w:rPr/>
      </w:pPr>
      <w:r>
        <w:rPr/>
        <w:t>GasMat/GasMat Holdings Ltd./GasMat Investments Ltd.</w:t>
      </w:r>
    </w:p>
    <w:p>
      <w:pPr>
        <w:pStyle w:val="Normal"/>
        <w:rPr/>
      </w:pPr>
      <w:r>
        <w:rPr/>
        <w:t xml:space="preserve">GasMat was formed for the purpose of owning and operating the Brazilian Spur. In 1998, Enron Electric Power Brazil C.V. and certain of its affiliates sold and assigned a 37.5% equity interest in GasMat to Shell Generating Limited (which interest was subsequently assigned to SCHL), and Enron Bolivia C.V. ("EBCV")and certain of its affiliates sold and assigned a 12.5% equity interest in GasMat to Transredes. </w:t>
      </w:r>
    </w:p>
    <w:p>
      <w:pPr>
        <w:pStyle w:val="Normal"/>
        <w:rPr/>
      </w:pPr>
      <w:r>
        <w:rPr/>
        <w:t xml:space="preserve">GasMat Holdings, Ltd., a Cayman Islands company ("GasMat Holdings") was formed in late 1999 in connection with the financing to be provided to the Cuiaba Project by OPIC and KfW.  At such time, the current shareholders of GasMat transfered all of their direct equity interests in GasMat to GasMat Holdings and were issued proportionate equity interests in GasMat Holdings.  </w:t>
      </w:r>
    </w:p>
    <w:p>
      <w:pPr>
        <w:pStyle w:val="Normal"/>
        <w:rPr/>
      </w:pPr>
      <w:r>
        <w:rPr/>
        <w:t>GasMat Holdings currently owns 100% of the quotas in GasMat (less the nominal interest referred to below), 99% directly, and 1% indirectly though its wholly-owned and controlled subsidiary, GasMat Investments, Ltd. ("GasMat Investments"), also a Cayman Islands company.  In connection with the financing provided by OPIC and KfW, a nominal interest (2 of 49,219,529 quotas) has been transfered to Interjuris s/c Ltda. to be held pursuant to an escrow agreement for the term of the financing. Enron Power Brazil Holdings I Ltd. ("EPBH"), SCHL, and Transredes are the current shareholders of EPE Holdings with EPBH holding a 50.0% interest, SCHL holding a 37.5% interest and Transredes holding a 12.5% interest.</w:t>
      </w:r>
    </w:p>
    <w:p>
      <w:pPr>
        <w:pStyle w:val="Normal"/>
        <w:rPr/>
      </w:pPr>
      <w:r>
        <w:rPr/>
        <w:t xml:space="preserve">In connection with the OPIC/KfW financing, all of the quotas in GasMat have been and all of the shares of GasMat Holdings and GasMat Investments will be pledged by the respective quotaholders or members to the collateral agents to be held as security on behalf of the lenders for the term of the financing. </w:t>
      </w:r>
    </w:p>
    <w:p>
      <w:pPr>
        <w:pStyle w:val="Normal"/>
        <w:rPr>
          <w:u w:val="single"/>
        </w:rPr>
      </w:pPr>
      <w:r>
        <w:rPr>
          <w:u w:val="single"/>
        </w:rPr>
        <w:t>Management</w:t>
      </w:r>
    </w:p>
    <w:p>
      <w:pPr>
        <w:pStyle w:val="Normal"/>
        <w:rPr/>
      </w:pPr>
      <w:r>
        <w:rPr/>
        <w:t>The Articles of Association of GasMat Holdings provide that EBPH is entitled to appoint three directors, and SCHL is entitled to appoint one director.</w:t>
      </w:r>
    </w:p>
    <w:p>
      <w:pPr>
        <w:pStyle w:val="Normal"/>
        <w:rPr/>
      </w:pPr>
      <w:r>
        <w:rPr/>
        <w:t xml:space="preserve">The Articles of Association of GasMat Holdings further provide that the directors and members of GasMat Holdings will procure the directors to exercise any rights that GasMat Holdings may have in GasMat Investments and GasMat to procure that the directors or managers and the alternates for such directors or managers of GasMat Investments and of GasMat, respectively, will comprise the same persons as the Board of Directors of GasMat Holdings; provided that with respect to one of the directors of GasMat Holdings appointed by GasMat, such director may nominate a different person, who shall be a Brazilian resident, to serve in his stead as a director or manager of GasMat.  </w:t>
      </w:r>
    </w:p>
    <w:p>
      <w:pPr>
        <w:pStyle w:val="Normal"/>
        <w:rPr/>
      </w:pPr>
      <w:r>
        <w:rPr/>
        <w:t>The Articles of Association of GasMat Holdings provide for a vote by a 2/3 majority of all of the members entitled to vote to approve certain decisions such as division of property upon the winding up of the company and amendments to the Memorandum or Articles of Association of the company. The directors of GasMat Holdings manage the business of GasMat Holdings.</w:t>
      </w:r>
    </w:p>
    <w:p>
      <w:pPr>
        <w:pStyle w:val="Normal"/>
        <w:rPr/>
      </w:pPr>
      <w:r>
        <w:rPr/>
        <w:t xml:space="preserve">The remuneration of the directors of GasMat Holdings, the directors of GasMat Investments, and the directors and officers of GasMat , any decision to sell, transfer, or charge any of the quotas in GasMat, and decisions regarding bankruptcy, receivership or liquidation of GasMat Holdings shall be by unanimous resolution of the members of GasMat Holdings.  The delegation of powers exercisable by the directors of GasMat Holdings to a managing director requires a unanimous resolution of the directors. </w:t>
      </w:r>
    </w:p>
    <w:p>
      <w:pPr>
        <w:pStyle w:val="Normal"/>
        <w:rPr/>
      </w:pPr>
      <w:r>
        <w:rPr/>
        <w:t>The Articles of Association of GasMat provide that GasMat Holdings shall has the right to appoint the directors of GasMat, and the Articles of Association of GasMat Investments provide that the directors of GasMat Investments are appointed by resolution of the company, provided that the members shall and shall procure the directors to exercise their rights to procure that the Board of Directors of GasMat Investments shall be the same as the Board of Directors of GasMat Holdings.</w:t>
      </w:r>
    </w:p>
    <w:p>
      <w:pPr>
        <w:pStyle w:val="Normal"/>
        <w:rPr/>
      </w:pPr>
      <w:r>
        <w:rPr/>
        <w:t>The Downstream Agreement requires the Enron affiliate owning an interest in GasMat to vote its interest in GasMat in favor of the Shell affiliate owning an interest in GasMat having a director's seat as long as Shell affiliate holds a direct interest in GasMat.</w:t>
      </w:r>
    </w:p>
    <w:p>
      <w:pPr>
        <w:pStyle w:val="Normal"/>
        <w:rPr/>
      </w:pPr>
      <w:r>
        <w:rPr/>
        <w:t>GasMat is administered and managed by GasMat Holdings which performs such duties by delegation of power to the Board of Directors and officers.</w:t>
      </w:r>
    </w:p>
    <w:p>
      <w:pPr>
        <w:pStyle w:val="Normal"/>
        <w:rPr/>
      </w:pPr>
      <w:r>
        <w:rPr/>
        <w:t>The directors of GasMat Holdings have the right to appoint officers of GasMat Holdings by resolution.</w:t>
      </w:r>
    </w:p>
    <w:p>
      <w:pPr>
        <w:pStyle w:val="Normal"/>
        <w:rPr/>
      </w:pPr>
      <w:r>
        <w:rPr/>
        <w:t xml:space="preserve">The directors of GasMat have the right to appoint the officers of GasMat. The officers are responsible for the management and conduction of the business of GasMat in accordance with the powers granted by the Board of Directors. </w:t>
      </w:r>
    </w:p>
    <w:p>
      <w:pPr>
        <w:pStyle w:val="Normal"/>
        <w:rPr/>
      </w:pPr>
      <w:r>
        <w:rPr/>
        <w:t>The CEO of GasMat can spend or commit GasMat to spend (in one transaction or a series of transactions) without the approval of the Board of Directors (a) all amounts set forth in the Agreed Budget or in any annual operating budget approved by the Board of Directors and (b) with respect to amounts not set forth in the agreed budget or in any annual operating budget approved by the Board of Directors, $1,000,000, provided that the CEO shall not have the authority to spend an aggregate amount during any year that exceeds the greater of $5,000,000 or 5% of the amount set forth in the Agreed Budget for such year and applicable annual operating budget for such year.</w:t>
      </w:r>
    </w:p>
    <w:p>
      <w:pPr>
        <w:pStyle w:val="Normal"/>
        <w:rPr/>
      </w:pPr>
      <w:r>
        <w:rPr/>
        <w:t>The Articles of Association of GasMat provide that any act perfomed by the officers to approve, request, or consent to the bankruptcy, receivership, etc. of GasMat, requires the prior approval in writing of the quotaholders holding 100% of the quotas (including Interjuris s/c Ltda.).</w:t>
      </w:r>
    </w:p>
    <w:p>
      <w:pPr>
        <w:pStyle w:val="Normal"/>
        <w:rPr/>
      </w:pPr>
      <w:r>
        <w:rPr/>
        <w:t>The merger, consolidation or change of legal form of GasMat , the admission of a new quotaholder of GasMat or the exclusion of Interjuris s/c Ltda. as a quotaholder of GasMat, , the undertaking or incurring of any indebtedness that is not "Permitted Indebtedness" under the OPIC/KfW financing documents, or any amendment to the Articles of Association of GasMat relating to such matters or to the rights of the lenders or Interjuris s/c Ltda. require the prior approval in writing of the quotaholders holding the majority of the equity capital of GasMat and also Interjuris s/c Ltda.</w:t>
      </w:r>
    </w:p>
    <w:p>
      <w:pPr>
        <w:pStyle w:val="Normal"/>
        <w:rPr/>
      </w:pPr>
      <w:r>
        <w:rPr/>
        <w:t>As both the Shell Letter Agreement and the Downstream Agreement were executed before the quotaholders of GasMat transferred their direct interests in GasMat to GasMat Holdings, both the Shell Letter Agreement and the Downstream Agreement will be amended to achieve substantially the same results as in the original agreements taking into account the existence of GasMat Holdings.</w:t>
      </w:r>
    </w:p>
    <w:p>
      <w:pPr>
        <w:pStyle w:val="Normal"/>
        <w:rPr/>
      </w:pPr>
      <w:r>
        <w:rPr/>
        <w:t>The Downstream Agreement also gives the Enron affiliate the right to purchase all of SCHL's interests in GasMat in the case of disagreement regarding voting on major decisions including the incurrence of any material indebtedness and the sale, assignment, transfer, conveyance or other disposition of all or substantially all or the mortgage, pledge, grant of a security interest or other adverse interest, encumbrance or collateral assignment of all or any material part of the assets of GasMat; provided that the Enron affiliate (and any other quotaholder with which it has a voting agreement) and SCHL could have controlled such a vote.</w:t>
      </w:r>
    </w:p>
    <w:p>
      <w:pPr>
        <w:pStyle w:val="Normal"/>
        <w:rPr/>
      </w:pPr>
      <w:r>
        <w:rPr/>
        <w:t>The Shell Letter Agreement provides that for so long as the Shell Parent holds not less than 30% of the net economic interests in GasMat, EBPH will not vote its interests or permit its representatives on the board of directors to vote in favor of certain issues without the consent of SCHL. Such issues include the sale or other disposition of all or substantially all of the assets of GasMat , amendments to the constituent or organizational documents that would have a material adverse effect on SCHL, and certain acquisitions and mergers. If SCHL does not consent to such vote, EEPB and its affiliates have the right to purchase all of SCHL's interest in EPE , GasMat and TBS.</w:t>
      </w:r>
    </w:p>
    <w:p>
      <w:pPr>
        <w:pStyle w:val="Normal"/>
        <w:rPr/>
      </w:pPr>
      <w:r>
        <w:rPr/>
        <w:t>In the Shell Letter Agreement, EEPB and SCHL agree that if either party requests that the capacity of the Bolivian or Brazilian Spur be expanded to permit EEPB or SCHL or their respective affiliates to enter into firm transportation agreements for such expansion capacity, then SCHL and and EEPB shall cause TransBorder Gas Services Ltd., GasBol and or GasMat to effect such expansion. If EEPB or Transredes disagrees with such expansion, the other party can proceed at its expense, and the disagreeing quotaholder's ownership of TBS, GasBol and/or GasMat, as applicable, will be diluted.</w:t>
      </w:r>
    </w:p>
    <w:p>
      <w:pPr>
        <w:pStyle w:val="Normal"/>
        <w:rPr/>
      </w:pPr>
      <w:r>
        <w:rPr/>
        <w:t>In the Transredes Letter Agreement, EBCV and Transredes agree that if TransBorder Gas Services Ltd. requests that the capacity of the Brazilian Spur be expanded to permit EBCV or Shell Gas (Latin America) B.V.or their respective affiliates to enter into firm transportation agreements for such expansion capacity, then EBCV and Transredes will vote their interests in favor of causing GasMat to effect such expansion. If EBCV or Transredes disagrees with such expansion, the other quotaholders can proceed at their expense, and the disagreeing quotaholder's ownership of GasMat will be diluted.</w:t>
      </w:r>
    </w:p>
    <w:p>
      <w:pPr>
        <w:pStyle w:val="Heading4"/>
        <w:ind w:hanging="0" w:start="0"/>
        <w:rPr/>
      </w:pPr>
      <w:r>
        <w:rPr/>
        <w:t>TBS</w:t>
      </w:r>
    </w:p>
    <w:p>
      <w:pPr>
        <w:pStyle w:val="Normal"/>
        <w:rPr>
          <w:u w:val="single"/>
        </w:rPr>
      </w:pPr>
      <w:r>
        <w:rPr>
          <w:u w:val="single"/>
        </w:rPr>
        <w:t>Ownership</w:t>
      </w:r>
    </w:p>
    <w:p>
      <w:pPr>
        <w:pStyle w:val="Normal"/>
        <w:rPr/>
      </w:pPr>
      <w:r>
        <w:rPr/>
        <w:t xml:space="preserve">In 1998 EEPB and certain of its affiliates sold and assigned a 27.5% equity interest in TBS to Shell Generating Limited (which interest was subsequently assigned to SCHL) resulting in Atlantic Commercial Finance Inc. owning 72.5% and SCHL owning 27.5%. </w:t>
      </w:r>
    </w:p>
    <w:p>
      <w:pPr>
        <w:pStyle w:val="Normal"/>
        <w:rPr>
          <w:u w:val="single"/>
        </w:rPr>
      </w:pPr>
      <w:r>
        <w:rPr>
          <w:u w:val="single"/>
        </w:rPr>
        <w:t>Management</w:t>
      </w:r>
    </w:p>
    <w:p>
      <w:pPr>
        <w:pStyle w:val="Normal"/>
        <w:rPr/>
      </w:pPr>
      <w:r>
        <w:rPr/>
        <w:t>The Articles of Association of TBS provide for TBS to be managed by its directors and for such directors to be appointed by ordinary resolution of the company.</w:t>
      </w:r>
    </w:p>
    <w:p>
      <w:pPr>
        <w:pStyle w:val="Normal"/>
        <w:rPr/>
      </w:pPr>
      <w:r>
        <w:rPr/>
        <w:t xml:space="preserve">The Articles of Association of EPE Holdings provide for a vote by a 2/3 majority of all of the members entitled to vote to approve certain decisions such as division of property upon the winding up of the company and amendments to the Memorandum or Articles of Association of the company. </w:t>
      </w:r>
    </w:p>
    <w:p>
      <w:pPr>
        <w:pStyle w:val="Normal"/>
        <w:rPr/>
      </w:pPr>
      <w:r>
        <w:rPr/>
        <w:t>The Downstream Agreement requires the Enron affiliate owning an interest in TBS to vote its interest in TBS in favor of the Shell affiliate owning an interest in TBS having a director's seat as long as Shell affiliate holds a direct interest in TBS.</w:t>
      </w:r>
    </w:p>
    <w:p>
      <w:pPr>
        <w:pStyle w:val="Normal"/>
        <w:rPr/>
      </w:pPr>
      <w:r>
        <w:rPr/>
        <w:t>The directors of TBS have the right to appoint officers of TBS by resolution.</w:t>
      </w:r>
    </w:p>
    <w:p>
      <w:pPr>
        <w:pStyle w:val="Normal"/>
        <w:rPr/>
      </w:pPr>
      <w:r>
        <w:rPr/>
        <w:t>The CEO of TBS can spend or commit TBS to spend (in one transaction or a series of transactions) without the approval of the Board of Directors (a) all amounts set forth in the Agreed Budget or in any annual operating budget approved by the Board of Directors and (b) with respect to amounts not set forth in the agreed budget or in any annual operating budget approved by the Board of Directors, an aggregate amount during any one year equal to or less than $1,000,000.</w:t>
      </w:r>
    </w:p>
    <w:p>
      <w:pPr>
        <w:pStyle w:val="Normal"/>
        <w:rPr/>
      </w:pPr>
      <w:r>
        <w:rPr/>
        <w:t>The Downstream Agreement gives the Enron affiliate the right to purchase all of SCHL's interests in TBS in the case of disagreement regarding voting on major decisions including the incurrence of any material indebtedness and the sale, assignment, transfer, conveyance or other disposition of all or substantially all or the mortgage, pledge, grant of a security interest or other adverse interest, encumbrance or collateral assignment of all or any material part of the assets of TBS; provided that the Enron affiliate (and any other quotaholder with which it has a voting agreement) and SCHL could have controlled such a vote.</w:t>
      </w:r>
    </w:p>
    <w:p>
      <w:pPr>
        <w:pStyle w:val="Normal"/>
        <w:rPr/>
      </w:pPr>
      <w:r>
        <w:rPr/>
        <w:t>The Shell Letter Agreement provides that for so long as the Shell Parent holds not less than 17.5% of the net economic interests in TBS, Atlantic Commercial Finance Inc. will not vote its interests or permit its representatives on the board of directors to vote in favor of certain issues without the consent of SCHL. Such issues include the sale or other disposition of all or substantially all of the assets of TBS , amendments to the constituent or organizational documents that would have a material adverse effect on SCHL, and certain acquisitions and mergers. If SCHL does not consent to such vote, EEPB and its affiliates have the right to purchase all of SCHL's interest in EPE , GasMat and TBS.</w:t>
      </w:r>
    </w:p>
    <w:p>
      <w:pPr>
        <w:pStyle w:val="Normal"/>
        <w:rPr/>
      </w:pPr>
      <w:r>
        <w:rPr/>
        <w:t xml:space="preserve">The Shell Letter Agreement provides that the right to contract spare capacity in the Bolivian Spur and the Brazilian Spur between approximately 102.99 MMMBtu/day and 285.33 MMMBtu/day of capacity (the "Initial Spare Capacity") shall be reserved to EEPB affiliates and their designees until the fifth anniversary of the commencement of commercial operations of the Bolivian Spur and the Brazilian Spur (the"Availability Date"). If, prior to the Availability Date, SCHL desires to sign a firm transportation agreement with respect to the Initial Spare Capacity and EEPB affiliates and their designees do not intend to enter into a firm transportation agreement with respect to such capacity on or before the Availability Date, SCHL shall have the right to sign a firm transportation agreement for such capacity. To the extent that EEPB affiliates or their designees have not entered into a firm transportation agreement with TBS before the Availability Date with respect to any of such capacity, such uncommitted capacity will be available to both SCHL and EEPB affiliates on a "first in-first served" basis. </w:t>
      </w:r>
    </w:p>
    <w:p>
      <w:pPr>
        <w:pStyle w:val="Normal"/>
        <w:rPr/>
      </w:pPr>
      <w:r>
        <w:rPr/>
        <w:t>The Shell Letter Agreement provides that the right to use expansion capacity in the Brazilian Spur above the Initial Spare Capacity shall be available to both SCHL and EEPB affiliates on a "first in-first served" basis, and the right to use expansion capacity in the Bolivian Spur shall be determined by GasBol pursuant to the Joint Venture and Shareholders Agreement [define - BBPL document] and in accordance with applicable Bolivian law and regulations.</w:t>
      </w:r>
    </w:p>
    <w:p>
      <w:pPr>
        <w:pStyle w:val="Normal"/>
        <w:rPr/>
      </w:pPr>
      <w:r>
        <w:rPr/>
        <w:t xml:space="preserve">The tariffs payable for the use of the Initial Spare Capacity and for expansion capacity in the Brazilian Spur above the Initial Spare Capacity by EEPB affiliates or SCHL shall be as provided for in the Shell Letter Agreement. </w:t>
      </w:r>
    </w:p>
    <w:p>
      <w:pPr>
        <w:pStyle w:val="Normal"/>
        <w:rPr/>
      </w:pPr>
      <w:r>
        <w:rPr/>
        <w:t>The Shell Letter Agreement also provides that from June 4,1998 to the earlier to occur of June 4, 2005 or the date on which a firm transportation contract or contracts have been entered into by TBS with respect to all of the Initial Spare Capacity (the "Gas Option Period"), SCHL or its affiliates shall have the option to supply EEPB affiliates or their designees up to 27.5% of the gas that such affiliates or designees are supplying using the Bolivian Spur and Brazilian Spur to any power plant project located in the Brazilian State of Mato Grosso or in any Brazilian state adjoining such state, provided that (i) such gas is transported using the Initial Spare Capacity, (ii) such supply does not conflict with GasBol's commitments to Bolivian gas producers to use Bolivian sourced gas first and (iii) the terms for such supply are no less favorable than could be obtained by the purchaser of such gas in an arm's length transaction pursuant to an offer EEPB or its affiliates has obtained and is prepared to accept from a supplier that was not an affiliate of SCHL.</w:t>
      </w:r>
    </w:p>
    <w:p>
      <w:pPr>
        <w:pStyle w:val="Heading3"/>
        <w:ind w:hanging="0" w:start="0"/>
        <w:rPr/>
      </w:pPr>
      <w:r>
        <w:rPr/>
        <w:t>Employees</w:t>
      </w:r>
    </w:p>
    <w:p>
      <w:pPr>
        <w:pStyle w:val="Heading3"/>
        <w:ind w:hanging="0" w:start="0"/>
        <w:rPr/>
      </w:pPr>
      <w:r>
        <w:rPr/>
        <w:t>Special Considerations</w:t>
      </w:r>
    </w:p>
    <w:p>
      <w:pPr>
        <w:pStyle w:val="Heading4"/>
        <w:ind w:hanging="0" w:start="0"/>
        <w:rPr/>
      </w:pPr>
      <w:r>
        <w:rPr/>
        <w:t>Future Development</w:t>
      </w:r>
    </w:p>
    <w:p>
      <w:pPr>
        <w:pStyle w:val="Normal"/>
        <w:rPr/>
      </w:pPr>
      <w:r>
        <w:rPr/>
        <w:t>The Downstream Agreement contains certain agreements between Enron and SCHL related to future development in the Western States of Brazil.</w:t>
      </w:r>
    </w:p>
    <w:p>
      <w:pPr>
        <w:pStyle w:val="Heading3"/>
        <w:ind w:hanging="0" w:start="0"/>
        <w:rPr/>
      </w:pPr>
      <w:r>
        <w:rPr/>
        <w:t>Financial Information</w:t>
      </w:r>
    </w:p>
    <w:p>
      <w:pPr>
        <w:pStyle w:val="Normal"/>
        <w:rPr/>
      </w:pPr>
      <w:r>
        <w:rPr/>
      </w:r>
    </w:p>
    <w:p>
      <w:pPr>
        <w:pStyle w:val="Heading4"/>
        <w:ind w:hanging="0" w:start="0"/>
        <w:rPr/>
      </w:pPr>
      <w:r>
        <w:rPr/>
        <w:t>Introduction</w:t>
      </w:r>
    </w:p>
    <w:p>
      <w:pPr>
        <w:pStyle w:val="Normal"/>
        <w:rPr/>
      </w:pPr>
      <w:r>
        <w:rPr/>
      </w:r>
    </w:p>
    <w:p>
      <w:pPr>
        <w:pStyle w:val="Heading4"/>
        <w:ind w:hanging="0" w:start="0"/>
        <w:rPr/>
      </w:pPr>
      <w:r>
        <w:rPr/>
        <w:t>Review of Historical Results (BS + P&amp;L)</w:t>
      </w:r>
    </w:p>
    <w:p>
      <w:pPr>
        <w:pStyle w:val="Normal"/>
        <w:rPr/>
      </w:pPr>
      <w:r>
        <w:rPr/>
      </w:r>
    </w:p>
    <w:p>
      <w:pPr>
        <w:pStyle w:val="Heading4"/>
        <w:ind w:hanging="0" w:start="0"/>
        <w:rPr/>
      </w:pPr>
      <w:r>
        <w:rPr/>
        <w:t>Projections</w:t>
      </w:r>
    </w:p>
    <w:p>
      <w:pPr>
        <w:pStyle w:val="Normal"/>
        <w:rPr/>
      </w:pPr>
      <w:r>
        <w:rPr/>
      </w:r>
    </w:p>
    <w:p>
      <w:pPr>
        <w:pStyle w:val="Heading5"/>
        <w:numPr>
          <w:ilvl w:val="4"/>
          <w:numId w:val="5"/>
        </w:numPr>
        <w:ind w:hanging="0" w:start="0"/>
        <w:rPr/>
      </w:pPr>
      <w:r>
        <w:rPr/>
        <w:t>Key Assumptions</w:t>
      </w:r>
    </w:p>
    <w:p>
      <w:pPr>
        <w:pStyle w:val="Normal"/>
        <w:rPr/>
      </w:pPr>
      <w:r>
        <w:rPr/>
      </w:r>
    </w:p>
    <w:p>
      <w:pPr>
        <w:pStyle w:val="Heading5"/>
        <w:numPr>
          <w:ilvl w:val="4"/>
          <w:numId w:val="5"/>
        </w:numPr>
        <w:ind w:hanging="0" w:start="0"/>
        <w:rPr/>
      </w:pPr>
      <w:r>
        <w:rPr/>
        <w:t>Results</w:t>
      </w:r>
    </w:p>
    <w:p>
      <w:pPr>
        <w:pStyle w:val="Normal"/>
        <w:rPr/>
      </w:pPr>
      <w:r>
        <w:rPr/>
      </w:r>
    </w:p>
    <w:p>
      <w:pPr>
        <w:pStyle w:val="Heading4"/>
        <w:ind w:hanging="0" w:start="0"/>
        <w:rPr/>
      </w:pPr>
      <w:r>
        <w:rPr/>
        <w:t>Historical and Projected Financial Data</w:t>
      </w:r>
    </w:p>
    <w:p>
      <w:pPr>
        <w:pStyle w:val="Normal"/>
        <w:rPr/>
      </w:pPr>
      <w:r>
        <w:rPr/>
      </w:r>
      <w:r>
        <w:br w:type="page"/>
      </w:r>
    </w:p>
    <w:p>
      <w:pPr>
        <w:pStyle w:val="Heading2"/>
        <w:ind w:hanging="0" w:start="0"/>
        <w:rPr/>
      </w:pPr>
      <w:r>
        <w:rPr/>
        <w:t>Cuiabá II/III</w:t>
      </w:r>
    </w:p>
    <w:p>
      <w:pPr>
        <w:pStyle w:val="Heading3"/>
        <w:ind w:hanging="0" w:start="0"/>
        <w:rPr/>
      </w:pPr>
      <w:r>
        <w:rPr/>
        <w:t>Description of Assets</w:t>
      </w:r>
    </w:p>
    <w:p>
      <w:pPr>
        <w:pStyle w:val="Heading4"/>
        <w:ind w:hanging="0" w:start="0"/>
        <w:rPr/>
      </w:pPr>
      <w:r>
        <w:rPr/>
        <w:t>Overview</w:t>
      </w:r>
    </w:p>
    <w:p>
      <w:pPr>
        <w:pStyle w:val="Normal"/>
        <w:rPr/>
      </w:pPr>
      <w:r>
        <w:rPr/>
        <w:t>In view of the strong growth in electricity demand in the State of Mato Grosso and surrounding regions of Brazil, significant scope exists to expand the generation capacity of Cuiabá which is ideally located close to the principal centers of demand in the State.  In addition, Enron’s ability to substantially increase the volumes of gas delivered by the Project Pipeline at minimal additional cost will give it significant competitive advantages over other potential new entrants to the generation market.  Enron believes that the pipeline will be able to support up to a total of 1,480 MW.</w:t>
      </w:r>
    </w:p>
    <w:p>
      <w:pPr>
        <w:pStyle w:val="Normal"/>
        <w:rPr/>
      </w:pPr>
      <w:r>
        <w:rPr/>
        <w:t>Maximum demand in the region served by the Cuiabá Project is currently approximately 600 MW and is growing at almost 10% per year.  Combined with potential exports to other regions of Brazil, Enron believes that two additional units of 500 MW each could be built on the Cuiabá Project site in 2002 and 2004.</w:t>
      </w:r>
    </w:p>
    <w:p>
      <w:pPr>
        <w:pStyle w:val="Normal"/>
        <w:rPr/>
      </w:pPr>
      <w:r>
        <w:rPr/>
        <w:t>Cuiabá II was recently awarded Emergency Plant status by the Brazilian Government.  Enron currently expects to invest approximately US$500 million in Cuiabá II/III.</w:t>
      </w:r>
    </w:p>
    <w:p>
      <w:pPr>
        <w:pStyle w:val="Heading5"/>
        <w:numPr>
          <w:ilvl w:val="4"/>
          <w:numId w:val="5"/>
        </w:numPr>
        <w:ind w:hanging="0" w:start="0"/>
        <w:rPr/>
      </w:pPr>
      <w:r>
        <w:rPr/>
        <w:t>Physical Assets</w:t>
      </w:r>
    </w:p>
    <w:p>
      <w:pPr>
        <w:pStyle w:val="Normal"/>
        <w:rPr/>
      </w:pPr>
      <w:r>
        <w:rPr/>
        <w:t>Cuiabá will be located adjacent to Cuiabá I and will benefit from resulting advantages such as good access, water and easy access to the transmission system.  Gas turbine negotiations with Mitsubishi are almost completed, with Enron having opted to acquire 2 M501F gas turbines and one steam turbine for a net site output of 474 MW in combined cycle.  Enron is currently evaluating whether the turbines should be dual or single fired.  Cuiabá II will share the existing water treatment and pipeline facilities, access roads and O&amp;M infrastructure with Cuiabá I.  Enron has closed the purchase contract for the Phase II gas turbines and is currently bidding out the contracts for Phase III.</w:t>
      </w:r>
    </w:p>
    <w:p>
      <w:pPr>
        <w:pStyle w:val="Normal"/>
        <w:rPr/>
      </w:pPr>
      <w:r>
        <w:rPr/>
        <w:t>The existing transmission line connecting Cuiabá to São Paulo State should be sufficient to support Cuiabá II but additional transmission capacity will be required for Cuiabá III. Enron has proposed three alternative routes for a new 500 kV line to connect the Coxipó substation at Cuiabá to either Itumbiara in Minas Gerais or Jupiá in São Paulo State.  Eletrobrás, the ONS and the Mato Grosso State Government have all responded favourably to date to the proposal that the new line should form part of the Base Network and be remunerated from system-wide transmission charges.</w:t>
      </w:r>
    </w:p>
    <w:p>
      <w:pPr>
        <w:pStyle w:val="Heading5"/>
        <w:numPr>
          <w:ilvl w:val="4"/>
          <w:numId w:val="5"/>
        </w:numPr>
        <w:ind w:hanging="0" w:start="0"/>
        <w:rPr/>
      </w:pPr>
      <w:r>
        <w:rPr/>
        <w:t>Status of Development</w:t>
      </w:r>
    </w:p>
    <w:p>
      <w:pPr>
        <w:pStyle w:val="Normal"/>
        <w:rPr/>
      </w:pPr>
      <w:r>
        <w:rPr/>
        <w:t>Enron has carried out significant analysis in respect of Cuiabá II which was recently granted Emergency Plant Status.  Requests for environmental and regulatory licenses are already in progress and approvals are expected by April.  Gas supply negotiations with Bolivian gas producers are also in progress.  Finally, the PPA with Elektro is expected to be completed by May 2000 with comments from ANEEL expected by the middle of April 2000.  Enron is also negotiating with other distributors to purchase energy from the Project.  Construction is expected to begin during 2001 and Enron believes that the Project could enter service in 2002 and that the price of its power will be highly attractive relative to that of potential competitors.</w:t>
      </w:r>
    </w:p>
    <w:p>
      <w:pPr>
        <w:pStyle w:val="Heading3"/>
        <w:ind w:hanging="0" w:start="0"/>
        <w:rPr/>
      </w:pPr>
      <w:r>
        <w:rPr/>
        <w:t xml:space="preserve">Regulation </w:t>
      </w:r>
    </w:p>
    <w:p>
      <w:pPr>
        <w:pStyle w:val="Normal"/>
        <w:rPr/>
      </w:pPr>
      <w:r>
        <w:rPr/>
      </w:r>
    </w:p>
    <w:p>
      <w:pPr>
        <w:pStyle w:val="Heading4"/>
        <w:ind w:hanging="0" w:start="0"/>
        <w:rPr/>
      </w:pPr>
      <w:r>
        <w:rPr/>
        <w:t>IPP Regulations</w:t>
      </w:r>
    </w:p>
    <w:p>
      <w:pPr>
        <w:pStyle w:val="Normal"/>
        <w:rPr/>
      </w:pPr>
      <w:r>
        <w:rPr/>
      </w:r>
    </w:p>
    <w:p>
      <w:pPr>
        <w:pStyle w:val="Heading4"/>
        <w:ind w:hanging="0" w:start="0"/>
        <w:rPr/>
      </w:pPr>
      <w:r>
        <w:rPr/>
        <w:t>Market Operations - Rules and Procedures</w:t>
      </w:r>
    </w:p>
    <w:p>
      <w:pPr>
        <w:pStyle w:val="Normal"/>
        <w:rPr/>
      </w:pPr>
      <w:r>
        <w:rPr/>
      </w:r>
    </w:p>
    <w:p>
      <w:pPr>
        <w:pStyle w:val="Heading3"/>
        <w:ind w:hanging="0" w:start="0"/>
        <w:rPr/>
      </w:pPr>
      <w:r>
        <w:rPr/>
        <w:t>Commercial Structure</w:t>
      </w:r>
    </w:p>
    <w:p>
      <w:pPr>
        <w:pStyle w:val="Normal"/>
        <w:rPr/>
      </w:pPr>
      <w:r>
        <w:rPr/>
      </w:r>
    </w:p>
    <w:p>
      <w:pPr>
        <w:pStyle w:val="Heading4"/>
        <w:ind w:hanging="0" w:start="0"/>
        <w:rPr/>
      </w:pPr>
      <w:r>
        <w:rPr/>
        <w:t>PPA</w:t>
      </w:r>
    </w:p>
    <w:p>
      <w:pPr>
        <w:pStyle w:val="Normal"/>
        <w:rPr/>
      </w:pPr>
      <w:r>
        <w:rPr/>
        <w:t>Cuiabá II/III’s capacity is expected to be contracted primarily to Elektro, although Enron has also initiated discussions with third parties, which could include CEMAT, the local electric distribution company, and Eletrobras, which is obliged to act as off-taker of last resort under the Emergency Plan.  Enron currently expects the PPA negotiations to be completed by May 2000 after their approval by ANEEL.  Key terms of the PPA are expected to include [      ].</w:t>
      </w:r>
    </w:p>
    <w:p>
      <w:pPr>
        <w:pStyle w:val="Heading5"/>
        <w:numPr>
          <w:ilvl w:val="4"/>
          <w:numId w:val="5"/>
        </w:numPr>
        <w:ind w:hanging="0" w:start="0"/>
        <w:rPr/>
      </w:pPr>
      <w:r>
        <w:rPr/>
        <w:t>General Terms and Conditions</w:t>
      </w:r>
    </w:p>
    <w:p>
      <w:pPr>
        <w:pStyle w:val="Normal"/>
        <w:rPr/>
      </w:pPr>
      <w:r>
        <w:rPr/>
      </w:r>
    </w:p>
    <w:p>
      <w:pPr>
        <w:pStyle w:val="Heading5"/>
        <w:numPr>
          <w:ilvl w:val="4"/>
          <w:numId w:val="5"/>
        </w:numPr>
        <w:ind w:hanging="0" w:start="0"/>
        <w:rPr/>
      </w:pPr>
      <w:r>
        <w:rPr/>
        <w:t>Tariff Structure</w:t>
      </w:r>
    </w:p>
    <w:p>
      <w:pPr>
        <w:pStyle w:val="Normal"/>
        <w:rPr/>
      </w:pPr>
      <w:r>
        <w:rPr/>
        <w:t>The Cuiabá II PPA will be structured to include both capacity and energy payments, the sum of which is capped by the Normative Value, currently approximately US$35/MWh.</w:t>
      </w:r>
    </w:p>
    <w:p>
      <w:pPr>
        <w:pStyle w:val="Heading5"/>
        <w:numPr>
          <w:ilvl w:val="4"/>
          <w:numId w:val="5"/>
        </w:numPr>
        <w:ind w:hanging="0" w:start="0"/>
        <w:rPr/>
      </w:pPr>
      <w:r>
        <w:rPr/>
        <w:t>Security Structure</w:t>
      </w:r>
    </w:p>
    <w:p>
      <w:pPr>
        <w:pStyle w:val="Normal"/>
        <w:rPr/>
      </w:pPr>
      <w:r>
        <w:rPr/>
      </w:r>
    </w:p>
    <w:p>
      <w:pPr>
        <w:pStyle w:val="Heading4"/>
        <w:ind w:hanging="0" w:start="0"/>
        <w:rPr/>
      </w:pPr>
      <w:r>
        <w:rPr/>
        <w:t>Gas Supply Agreement</w:t>
      </w:r>
    </w:p>
    <w:p>
      <w:pPr>
        <w:pStyle w:val="Normal"/>
        <w:rPr/>
      </w:pPr>
      <w:r>
        <w:rPr/>
        <w:t>Gas supply negotiations with Bolivian gas producers are in progress and are expected to be completed shortly.  [TBS is expected to continue to be the supplier of gas to the Cuiabá power island].  Key terms of the gas supply agreement are likely to include [           ].  It should be noted that gas prices for Emergency Plant are set at US$2.26/MMBtu by the Government.  Enron is currently evaluating whether to install diesel back-up capability.</w:t>
      </w:r>
    </w:p>
    <w:p>
      <w:pPr>
        <w:pStyle w:val="Heading4"/>
        <w:ind w:hanging="0" w:start="0"/>
        <w:rPr/>
      </w:pPr>
      <w:r>
        <w:rPr/>
        <w:t>Transportation Agreement</w:t>
      </w:r>
    </w:p>
    <w:p>
      <w:pPr>
        <w:pStyle w:val="Normal"/>
        <w:rPr/>
      </w:pPr>
      <w:r>
        <w:rPr/>
        <w:t>Enron has initiated discussions regarding the contracting of additional transportation capacity on GasBol and GasMat in respect of Cuiabá II/III.  Negotiations are expected to conclude in [      ] 2000 and key terms are likely to include [             ].</w:t>
      </w:r>
    </w:p>
    <w:p>
      <w:pPr>
        <w:pStyle w:val="Heading4"/>
        <w:ind w:hanging="0" w:start="0"/>
        <w:rPr/>
      </w:pPr>
      <w:r>
        <w:rPr/>
        <w:t>Operating Agreement</w:t>
      </w:r>
    </w:p>
    <w:p>
      <w:pPr>
        <w:pStyle w:val="Normal"/>
        <w:rPr/>
      </w:pPr>
      <w:r>
        <w:rPr/>
        <w:t>Enron expects to be the operator of Cuiabá.  An operating agreement is under negotiation and is expected to be concluded [             ].</w:t>
      </w:r>
    </w:p>
    <w:p>
      <w:pPr>
        <w:pStyle w:val="Heading4"/>
        <w:ind w:hanging="0" w:start="0"/>
        <w:rPr/>
      </w:pPr>
      <w:r>
        <w:rPr/>
        <w:t>Other Permits</w:t>
      </w:r>
    </w:p>
    <w:p>
      <w:pPr>
        <w:pStyle w:val="Normal"/>
        <w:rPr/>
      </w:pPr>
      <w:r>
        <w:rPr/>
        <w:t>Environmental concerns are minimal.  The final EIA-RIMA will be complete and ready for submittal within the next few weeks.  Based on normal timing, Enron expects to receive the environmental license within two months of this submittal.  Right-of-way work is minimal due to existing infrastructure.  The water taken from the river will be returned well inside chemical limits, and the emissions generated by the plant shall be well under the limits established by World Bank.  Noise is also kept to a level well within established state limits (85 Decibels at exactly 1 meter from the enclosure).</w:t>
      </w:r>
    </w:p>
    <w:p>
      <w:pPr>
        <w:pStyle w:val="Normal"/>
        <w:rPr/>
      </w:pPr>
      <w:r>
        <w:rPr/>
        <w:t>Enron has filed for the IPP license for the project and expects to receive its license within 1 month.  Other permits are in the process of being filed.</w:t>
      </w:r>
    </w:p>
    <w:p>
      <w:pPr>
        <w:pStyle w:val="Normal"/>
        <w:rPr/>
      </w:pPr>
      <w:r>
        <w:rPr/>
        <w:t>The project is strongly supported by the state and local governments.  The project has already received several tax incentives including an ICMS deferral.  The project was also on the federal government’s “Emergency Plan” list released on February 25, 2000, which shall enjoy selected benefits.</w:t>
      </w:r>
    </w:p>
    <w:p>
      <w:pPr>
        <w:pStyle w:val="Heading3"/>
        <w:ind w:hanging="0" w:start="0"/>
        <w:rPr/>
      </w:pPr>
      <w:r>
        <w:rPr/>
        <w:t>Ownership and Governance</w:t>
      </w:r>
    </w:p>
    <w:p>
      <w:pPr>
        <w:pStyle w:val="Heading4"/>
        <w:ind w:hanging="0" w:start="0"/>
        <w:rPr/>
      </w:pPr>
      <w:r>
        <w:rPr/>
        <w:t>Ownership Structure</w:t>
      </w:r>
    </w:p>
    <w:p>
      <w:pPr>
        <w:pStyle w:val="Normal"/>
        <w:rPr/>
      </w:pPr>
      <w:r>
        <w:rPr/>
        <w:t>While no firm decisions have been taken to date regarding the ultimate ownership structure, Enron currently expects to implement the project with one or more partners.  Conversations have been initiated and a shareholders’ agreement is expected to be signed in [        ] 2000.  In any event, Enron will retain a majority interest in the project.</w:t>
      </w:r>
    </w:p>
    <w:p>
      <w:pPr>
        <w:pStyle w:val="Heading4"/>
        <w:ind w:hanging="0" w:start="0"/>
        <w:rPr/>
      </w:pPr>
      <w:r>
        <w:rPr/>
        <w:t>Other Provisions</w:t>
      </w:r>
    </w:p>
    <w:p>
      <w:pPr>
        <w:pStyle w:val="Normal"/>
        <w:rPr/>
      </w:pPr>
      <w:r>
        <w:rPr/>
      </w:r>
    </w:p>
    <w:p>
      <w:pPr>
        <w:pStyle w:val="Heading3"/>
        <w:ind w:hanging="0" w:start="0"/>
        <w:rPr/>
      </w:pPr>
      <w:r>
        <w:rPr/>
        <w:t>Employees</w:t>
      </w:r>
    </w:p>
    <w:p>
      <w:pPr>
        <w:pStyle w:val="Normal"/>
        <w:rPr/>
      </w:pPr>
      <w:r>
        <w:rPr/>
      </w:r>
    </w:p>
    <w:p>
      <w:pPr>
        <w:pStyle w:val="Heading3"/>
        <w:ind w:hanging="0" w:start="0"/>
        <w:rPr/>
      </w:pPr>
      <w:r>
        <w:rPr/>
        <w:t>Special Considerations</w:t>
      </w:r>
    </w:p>
    <w:p>
      <w:pPr>
        <w:pStyle w:val="Normal"/>
        <w:rPr/>
      </w:pPr>
      <w:r>
        <w:rPr/>
      </w:r>
    </w:p>
    <w:p>
      <w:pPr>
        <w:pStyle w:val="Heading3"/>
        <w:ind w:hanging="0" w:start="0"/>
        <w:rPr/>
      </w:pPr>
      <w:r>
        <w:rPr/>
        <w:t>Financial Information</w:t>
      </w:r>
    </w:p>
    <w:p>
      <w:pPr>
        <w:pStyle w:val="Normal"/>
        <w:rPr/>
      </w:pPr>
      <w:r>
        <w:rPr/>
      </w:r>
    </w:p>
    <w:p>
      <w:pPr>
        <w:pStyle w:val="Heading4"/>
        <w:ind w:hanging="0" w:start="0"/>
        <w:rPr/>
      </w:pPr>
      <w:r>
        <w:rPr/>
        <w:t>Introduction</w:t>
      </w:r>
    </w:p>
    <w:p>
      <w:pPr>
        <w:pStyle w:val="Normal"/>
        <w:rPr/>
      </w:pPr>
      <w:r>
        <w:rPr/>
      </w:r>
    </w:p>
    <w:p>
      <w:pPr>
        <w:pStyle w:val="Heading4"/>
        <w:ind w:hanging="0" w:start="0"/>
        <w:rPr/>
      </w:pPr>
      <w:r>
        <w:rPr/>
        <w:t>Projections</w:t>
      </w:r>
    </w:p>
    <w:p>
      <w:pPr>
        <w:pStyle w:val="Normal"/>
        <w:rPr/>
      </w:pPr>
      <w:r>
        <w:rPr/>
      </w:r>
    </w:p>
    <w:p>
      <w:pPr>
        <w:pStyle w:val="Heading5"/>
        <w:numPr>
          <w:ilvl w:val="4"/>
          <w:numId w:val="5"/>
        </w:numPr>
        <w:ind w:hanging="0" w:start="0"/>
        <w:rPr/>
      </w:pPr>
      <w:r>
        <w:rPr/>
        <w:t>Key Assumptions</w:t>
      </w:r>
    </w:p>
    <w:p>
      <w:pPr>
        <w:pStyle w:val="Normal"/>
        <w:rPr/>
      </w:pPr>
      <w:r>
        <w:rPr/>
      </w:r>
    </w:p>
    <w:p>
      <w:pPr>
        <w:pStyle w:val="Heading5"/>
        <w:numPr>
          <w:ilvl w:val="4"/>
          <w:numId w:val="5"/>
        </w:numPr>
        <w:ind w:hanging="0" w:start="0"/>
        <w:rPr/>
      </w:pPr>
      <w:r>
        <w:rPr/>
        <w:t>Results</w:t>
      </w:r>
    </w:p>
    <w:p>
      <w:pPr>
        <w:pStyle w:val="Normal"/>
        <w:rPr/>
      </w:pPr>
      <w:r>
        <w:rPr/>
      </w:r>
    </w:p>
    <w:p>
      <w:pPr>
        <w:pStyle w:val="Heading5"/>
        <w:numPr>
          <w:ilvl w:val="4"/>
          <w:numId w:val="5"/>
        </w:numPr>
        <w:ind w:hanging="0" w:start="0"/>
        <w:rPr/>
      </w:pPr>
      <w:r>
        <w:rPr/>
        <w:t>Historical and Projected Data</w:t>
      </w:r>
    </w:p>
    <w:p>
      <w:pPr>
        <w:pStyle w:val="Normal"/>
        <w:rPr/>
      </w:pPr>
      <w:r>
        <w:rPr/>
      </w:r>
    </w:p>
    <w:p>
      <w:pPr>
        <w:pStyle w:val="Heading2"/>
        <w:ind w:hanging="0" w:start="0"/>
        <w:rPr/>
      </w:pPr>
      <w:r>
        <w:rPr/>
        <w:t>Puerto Suárez</w:t>
      </w:r>
    </w:p>
    <w:p>
      <w:pPr>
        <w:pStyle w:val="Heading3"/>
        <w:ind w:hanging="0" w:start="0"/>
        <w:rPr/>
      </w:pPr>
      <w:r>
        <w:rPr/>
        <w:t>Description of Assets</w:t>
      </w:r>
    </w:p>
    <w:p>
      <w:pPr>
        <w:pStyle w:val="Heading4"/>
        <w:ind w:hanging="0" w:start="0"/>
        <w:rPr/>
      </w:pPr>
      <w:r>
        <w:rPr/>
        <w:t>Overview</w:t>
      </w:r>
    </w:p>
    <w:p>
      <w:pPr>
        <w:pStyle w:val="Normal"/>
        <w:rPr/>
      </w:pPr>
      <w:r>
        <w:rPr/>
        <w:t>Enron is developing a 145 MW generation project at Puerto Suárez near the border between Bolivia and Brazil and within the Zoframaq Industrial Free Trade Zone.  The Brazilian city of Corumbá is within 20 km of the proposed site.  The plant is expected to begin commercial operations by the end of 2001.</w:t>
      </w:r>
    </w:p>
    <w:p>
      <w:pPr>
        <w:pStyle w:val="Heading5"/>
        <w:numPr>
          <w:ilvl w:val="4"/>
          <w:numId w:val="5"/>
        </w:numPr>
        <w:ind w:hanging="0" w:start="0"/>
        <w:rPr/>
      </w:pPr>
      <w:r>
        <w:rPr/>
        <w:t>Physical Assets</w:t>
      </w:r>
    </w:p>
    <w:p>
      <w:pPr>
        <w:pStyle w:val="Normal"/>
        <w:rPr/>
      </w:pPr>
      <w:r>
        <w:rPr/>
        <w:t>Enron has executed an option agreement to purchase land located in the Zoframaq Industrial free trade zone.  The site is an attractive power plant site:</w:t>
      </w:r>
    </w:p>
    <w:p>
      <w:pPr>
        <w:pStyle w:val="Bmed1st1"/>
        <w:numPr>
          <w:ilvl w:val="0"/>
          <w:numId w:val="3"/>
        </w:numPr>
        <w:ind w:hanging="0" w:start="0"/>
        <w:rPr/>
      </w:pPr>
      <w:r>
        <w:rPr/>
        <w:t>Transportation: The site has access to the principal highway in the state and is located close to water transportation access.  The highway and water access will greatly facilitate transportation of heavy equipment to and from the site during construction;</w:t>
      </w:r>
    </w:p>
    <w:p>
      <w:pPr>
        <w:pStyle w:val="Bmed1st1"/>
        <w:numPr>
          <w:ilvl w:val="0"/>
          <w:numId w:val="3"/>
        </w:numPr>
        <w:ind w:hanging="0" w:start="0"/>
        <w:rPr/>
      </w:pPr>
      <w:r>
        <w:rPr/>
        <w:t>Water: The plant is located immediately adjacent to a large lake or can supply its limited needs through well water;</w:t>
      </w:r>
    </w:p>
    <w:p>
      <w:pPr>
        <w:pStyle w:val="Bmed1st1"/>
        <w:numPr>
          <w:ilvl w:val="0"/>
          <w:numId w:val="3"/>
        </w:numPr>
        <w:ind w:hanging="0" w:start="0"/>
        <w:rPr/>
      </w:pPr>
      <w:r>
        <w:rPr/>
        <w:t>Electric Transmission: The plant will access the Enersul system in Corumba through a 20 km 138 kv line to be built from the site into Brazil;</w:t>
      </w:r>
    </w:p>
    <w:p>
      <w:pPr>
        <w:pStyle w:val="Bmed1st1"/>
        <w:numPr>
          <w:ilvl w:val="0"/>
          <w:numId w:val="3"/>
        </w:numPr>
        <w:ind w:hanging="0" w:start="0"/>
        <w:rPr/>
      </w:pPr>
      <w:r>
        <w:rPr/>
        <w:t>Gas Transportation: The site will be supplied by a pipeline spur from the Bolivia to Brazil pipeline approximately 20 km from the site;</w:t>
      </w:r>
    </w:p>
    <w:p>
      <w:pPr>
        <w:pStyle w:val="Bmed1st1"/>
        <w:numPr>
          <w:ilvl w:val="0"/>
          <w:numId w:val="3"/>
        </w:numPr>
        <w:ind w:hanging="0" w:start="0"/>
        <w:rPr/>
      </w:pPr>
      <w:r>
        <w:rPr/>
        <w:t>Terrain: The site is flat, almost free of vegetation and is physically ideal for a project of this type.</w:t>
      </w:r>
    </w:p>
    <w:p>
      <w:pPr>
        <w:pStyle w:val="Normal"/>
        <w:rPr/>
      </w:pPr>
      <w:r>
        <w:rPr/>
        <w:t>Enron has closed an initial agreement to  purchase 2 GE 7EA turbines for the project.  The turbine delivery dates will allow Enron to have commercial operations for 72.5 MW by 4Q2001 and additional 72.5 MW by 4Q2002.  The plant will be laid out for possible future conversion of the facility to a combined cycle plant.</w:t>
      </w:r>
    </w:p>
    <w:p>
      <w:pPr>
        <w:pStyle w:val="Normal"/>
        <w:rPr/>
      </w:pPr>
      <w:r>
        <w:rPr/>
        <w:t>Electrical studies indicate that the existing transmission infrastructure will be capable of transmitting the 150 MW at an acceptable level of losses.  Enron has formally requested access to the Distribution and Transmission Systems.  For the Basic Grid connection, no major reinforcement will be necessary and this shall not be a problem for the project.  With regards to the Distribution System, Enron is performing electrical studies that will determine the reinforcements needed for the connection.  Access to the Distribution System depends on the results of such studies.</w:t>
      </w:r>
    </w:p>
    <w:p>
      <w:pPr>
        <w:pStyle w:val="Heading5"/>
        <w:numPr>
          <w:ilvl w:val="4"/>
          <w:numId w:val="5"/>
        </w:numPr>
        <w:ind w:hanging="0" w:start="0"/>
        <w:rPr/>
      </w:pPr>
      <w:r>
        <w:rPr/>
        <w:t>Construction Schedule</w:t>
      </w:r>
    </w:p>
    <w:p>
      <w:pPr>
        <w:pStyle w:val="BLKmed1st1"/>
        <w:rPr/>
      </w:pPr>
      <w:r>
        <w:rPr/>
        <w:t>The plant will be built in two phases of 72  MW each.  The first phase will take approximately 12 months to build.  The first phase is expected to begin commercial operations by the end of 2001.  The second phase will take approximately six months for construction and would begin commercial operations one year following the second phase.</w:t>
      </w:r>
    </w:p>
    <w:p>
      <w:pPr>
        <w:pStyle w:val="Heading5"/>
        <w:numPr>
          <w:ilvl w:val="4"/>
          <w:numId w:val="5"/>
        </w:numPr>
        <w:ind w:hanging="0" w:start="0"/>
        <w:rPr/>
      </w:pPr>
      <w:r>
        <w:rPr/>
        <w:t>Status of Development</w:t>
      </w:r>
    </w:p>
    <w:p>
      <w:pPr>
        <w:pStyle w:val="Normal"/>
        <w:rPr/>
      </w:pPr>
      <w:r>
        <w:rPr/>
      </w:r>
    </w:p>
    <w:p>
      <w:pPr>
        <w:pStyle w:val="Heading3"/>
        <w:ind w:hanging="0" w:start="0"/>
        <w:rPr/>
      </w:pPr>
      <w:r>
        <w:rPr/>
        <w:t>Regulation and Tariffs</w:t>
      </w:r>
    </w:p>
    <w:p>
      <w:pPr>
        <w:pStyle w:val="Normal"/>
        <w:rPr/>
      </w:pPr>
      <w:r>
        <w:rPr/>
      </w:r>
    </w:p>
    <w:p>
      <w:pPr>
        <w:pStyle w:val="Heading4"/>
        <w:ind w:hanging="0" w:start="0"/>
        <w:rPr/>
      </w:pPr>
      <w:r>
        <w:rPr/>
        <w:t>IPP Regulations</w:t>
      </w:r>
    </w:p>
    <w:p>
      <w:pPr>
        <w:pStyle w:val="Normal"/>
        <w:rPr/>
      </w:pPr>
      <w:r>
        <w:rPr/>
      </w:r>
    </w:p>
    <w:p>
      <w:pPr>
        <w:pStyle w:val="Heading4"/>
        <w:ind w:hanging="0" w:start="0"/>
        <w:rPr/>
      </w:pPr>
      <w:r>
        <w:rPr/>
        <w:t>Market Operations - Rules and Procedures</w:t>
      </w:r>
    </w:p>
    <w:p>
      <w:pPr>
        <w:pStyle w:val="Normal"/>
        <w:rPr/>
      </w:pPr>
      <w:r>
        <w:rPr/>
      </w:r>
    </w:p>
    <w:p>
      <w:pPr>
        <w:pStyle w:val="Heading3"/>
        <w:ind w:hanging="0" w:start="0"/>
        <w:rPr/>
      </w:pPr>
      <w:r>
        <w:rPr/>
        <w:t>Commercial Structure</w:t>
      </w:r>
    </w:p>
    <w:p>
      <w:pPr>
        <w:pStyle w:val="Normal"/>
        <w:rPr/>
      </w:pPr>
      <w:r>
        <w:rPr/>
      </w:r>
    </w:p>
    <w:p>
      <w:pPr>
        <w:pStyle w:val="Heading4"/>
        <w:ind w:hanging="0" w:start="0"/>
        <w:rPr/>
      </w:pPr>
      <w:r>
        <w:rPr/>
        <w:t>PPA</w:t>
      </w:r>
    </w:p>
    <w:p>
      <w:pPr>
        <w:pStyle w:val="Normal"/>
        <w:rPr/>
      </w:pPr>
      <w:r>
        <w:rPr/>
      </w:r>
    </w:p>
    <w:p>
      <w:pPr>
        <w:pStyle w:val="Heading5"/>
        <w:numPr>
          <w:ilvl w:val="4"/>
          <w:numId w:val="5"/>
        </w:numPr>
        <w:ind w:hanging="0" w:start="0"/>
        <w:rPr/>
      </w:pPr>
      <w:r>
        <w:rPr/>
        <w:t>General Terms and Conditions</w:t>
      </w:r>
    </w:p>
    <w:p>
      <w:pPr>
        <w:pStyle w:val="Normal"/>
        <w:rPr/>
      </w:pPr>
      <w:r>
        <w:rPr/>
        <w:t>Enron is in discussions with ANEEL on the final form of the power purchase agreement whereby Elektro would purchase electricity generated by Puerto Suárez.  ANEEL will respond with formal comments to the agreement by the middle of April.  Enron is also negotiating with other distributors to purchase energy from the project.</w:t>
      </w:r>
    </w:p>
    <w:p>
      <w:pPr>
        <w:pStyle w:val="Heading5"/>
        <w:numPr>
          <w:ilvl w:val="4"/>
          <w:numId w:val="5"/>
        </w:numPr>
        <w:ind w:hanging="0" w:start="0"/>
        <w:rPr/>
      </w:pPr>
      <w:r>
        <w:rPr/>
        <w:t>Tariff Structure</w:t>
      </w:r>
    </w:p>
    <w:p>
      <w:pPr>
        <w:pStyle w:val="Normal"/>
        <w:rPr/>
      </w:pPr>
      <w:r>
        <w:rPr/>
      </w:r>
    </w:p>
    <w:p>
      <w:pPr>
        <w:pStyle w:val="Heading5"/>
        <w:numPr>
          <w:ilvl w:val="4"/>
          <w:numId w:val="5"/>
        </w:numPr>
        <w:ind w:hanging="0" w:start="0"/>
        <w:rPr/>
      </w:pPr>
      <w:r>
        <w:rPr/>
        <w:t>Security Structure</w:t>
      </w:r>
    </w:p>
    <w:p>
      <w:pPr>
        <w:pStyle w:val="Normal"/>
        <w:rPr/>
      </w:pPr>
      <w:r>
        <w:rPr/>
      </w:r>
    </w:p>
    <w:p>
      <w:pPr>
        <w:pStyle w:val="Heading5"/>
        <w:numPr>
          <w:ilvl w:val="4"/>
          <w:numId w:val="5"/>
        </w:numPr>
        <w:ind w:hanging="0" w:start="0"/>
        <w:rPr/>
      </w:pPr>
      <w:r>
        <w:rPr/>
        <w:t>Current Status of Negotiations</w:t>
      </w:r>
    </w:p>
    <w:p>
      <w:pPr>
        <w:pStyle w:val="Normal"/>
        <w:rPr/>
      </w:pPr>
      <w:r>
        <w:rPr/>
      </w:r>
    </w:p>
    <w:p>
      <w:pPr>
        <w:pStyle w:val="Heading4"/>
        <w:ind w:hanging="0" w:start="0"/>
        <w:rPr/>
      </w:pPr>
      <w:r>
        <w:rPr/>
        <w:t>Gas Supply Agreement</w:t>
      </w:r>
    </w:p>
    <w:p>
      <w:pPr>
        <w:pStyle w:val="Normal"/>
        <w:rPr/>
      </w:pPr>
      <w:r>
        <w:rPr/>
        <w:t>Enron is currently negotiating the gas supply contracts with several producers in Bolivia.  Enron has received several firm offers for supply.  Negotiations on the final terms and conditions are expected to be complete shortly.  Enron will receive gas through the Bolivia to Brazil pipeline and pipeline spur to be constructed with the project.  This concept would allow this plant to become the only plant other than Cuiabá II/III to supply electricity into the Brazilian market without using gas supplied by Petrobas.</w:t>
      </w:r>
    </w:p>
    <w:p>
      <w:pPr>
        <w:pStyle w:val="Heading4"/>
        <w:ind w:hanging="0" w:start="0"/>
        <w:rPr/>
      </w:pPr>
      <w:r>
        <w:rPr/>
        <w:t>Transportation Agreement</w:t>
      </w:r>
    </w:p>
    <w:p>
      <w:pPr>
        <w:pStyle w:val="Normal"/>
        <w:rPr/>
      </w:pPr>
      <w:r>
        <w:rPr/>
      </w:r>
    </w:p>
    <w:p>
      <w:pPr>
        <w:pStyle w:val="Heading4"/>
        <w:ind w:hanging="0" w:start="0"/>
        <w:rPr/>
      </w:pPr>
      <w:r>
        <w:rPr/>
        <w:t>Operating Agreement</w:t>
      </w:r>
    </w:p>
    <w:p>
      <w:pPr>
        <w:pStyle w:val="Normal"/>
        <w:rPr/>
      </w:pPr>
      <w:r>
        <w:rPr/>
      </w:r>
    </w:p>
    <w:p>
      <w:pPr>
        <w:pStyle w:val="Heading4"/>
        <w:ind w:hanging="0" w:start="0"/>
        <w:rPr/>
      </w:pPr>
      <w:r>
        <w:rPr/>
        <w:t>Other Permits</w:t>
      </w:r>
    </w:p>
    <w:p>
      <w:pPr>
        <w:pStyle w:val="Normal"/>
        <w:rPr/>
      </w:pPr>
      <w:r>
        <w:rPr/>
        <w:t>Enron is currently working with the Bolivian Government (which is strongly supporting the project) in the drafting of a Supreme Decree that extends to Power Projects the same benefits granted to manufacturing/commercial projects located in the Free Trade Zones ("FTZ").  Location of the project in the FTZ gives the project exemptions for duties on equipment imports and on power exports.</w:t>
      </w:r>
    </w:p>
    <w:p>
      <w:pPr>
        <w:pStyle w:val="Normal"/>
        <w:rPr/>
      </w:pPr>
      <w:r>
        <w:rPr/>
        <w:t>Enron has formally requested an import authorization to ANEEL and is waiting for a definitive answer.  An authorization granted to Tradener for an identical project is delaying the process, since ANEEL is concerned about technical constraints of the Transmission system.</w:t>
      </w:r>
    </w:p>
    <w:p>
      <w:pPr>
        <w:pStyle w:val="Normal"/>
        <w:rPr/>
      </w:pPr>
      <w:r>
        <w:rPr/>
        <w:t>Environmental concerns are minimal.  The final EIA-RIMA will be complete and ready for submittal within the next few weeks.  Based on normal timing, Enron expects to receive the environmental license within two months of this submittal.  Right-of-way work is minimal due to existing infrastructure.  The water taken from the river will be returned well inside chemical limits, and the emissions generated by the plant shall be well under the limits established by World Bank.  Noise is also kept to a level well within established state limits (85 Decibels at exactly 1 meter from the enclosure).</w:t>
      </w:r>
    </w:p>
    <w:p>
      <w:pPr>
        <w:pStyle w:val="Normal"/>
        <w:rPr/>
      </w:pPr>
      <w:r>
        <w:rPr/>
        <w:t>Enron has filed for the IPP license for the project and expects to receive its license within 1 month.  Other permits are in the process of being filed.</w:t>
      </w:r>
    </w:p>
    <w:p>
      <w:pPr>
        <w:pStyle w:val="Heading3"/>
        <w:ind w:hanging="0" w:start="0"/>
        <w:rPr/>
      </w:pPr>
      <w:r>
        <w:rPr/>
        <w:t>Ownership and Governance</w:t>
      </w:r>
    </w:p>
    <w:p>
      <w:pPr>
        <w:pStyle w:val="Normal"/>
        <w:rPr/>
      </w:pPr>
      <w:r>
        <w:rPr/>
        <w:t>[PROVIDE INFORMATION]</w:t>
      </w:r>
    </w:p>
    <w:p>
      <w:pPr>
        <w:pStyle w:val="Heading4"/>
        <w:ind w:hanging="0" w:start="0"/>
        <w:rPr/>
      </w:pPr>
      <w:r>
        <w:rPr/>
        <w:t>Ownership Structure</w:t>
      </w:r>
    </w:p>
    <w:p>
      <w:pPr>
        <w:pStyle w:val="Normal"/>
        <w:rPr/>
      </w:pPr>
      <w:r>
        <w:rPr/>
      </w:r>
    </w:p>
    <w:p>
      <w:pPr>
        <w:pStyle w:val="Heading4"/>
        <w:ind w:hanging="0" w:start="0"/>
        <w:rPr/>
      </w:pPr>
      <w:r>
        <w:rPr/>
        <w:t>Other Provisions</w:t>
      </w:r>
    </w:p>
    <w:p>
      <w:pPr>
        <w:pStyle w:val="Normal"/>
        <w:rPr/>
      </w:pPr>
      <w:r>
        <w:rPr/>
      </w:r>
    </w:p>
    <w:p>
      <w:pPr>
        <w:pStyle w:val="Heading3"/>
        <w:ind w:hanging="0" w:start="0"/>
        <w:rPr/>
      </w:pPr>
      <w:r>
        <w:rPr/>
        <w:t>Employees</w:t>
      </w:r>
    </w:p>
    <w:p>
      <w:pPr>
        <w:pStyle w:val="Normal"/>
        <w:rPr/>
      </w:pPr>
      <w:r>
        <w:rPr/>
      </w:r>
    </w:p>
    <w:p>
      <w:pPr>
        <w:pStyle w:val="Heading3"/>
        <w:ind w:hanging="0" w:start="0"/>
        <w:rPr/>
      </w:pPr>
      <w:r>
        <w:rPr/>
        <w:t>Special Considerations</w:t>
      </w:r>
    </w:p>
    <w:p>
      <w:pPr>
        <w:pStyle w:val="Normal"/>
        <w:rPr/>
      </w:pPr>
      <w:r>
        <w:rPr/>
      </w:r>
    </w:p>
    <w:p>
      <w:pPr>
        <w:pStyle w:val="Heading3"/>
        <w:ind w:hanging="0" w:start="0"/>
        <w:rPr/>
      </w:pPr>
      <w:r>
        <w:rPr/>
        <w:t>Financial Information</w:t>
      </w:r>
    </w:p>
    <w:p>
      <w:pPr>
        <w:pStyle w:val="Normal"/>
        <w:rPr/>
      </w:pPr>
      <w:r>
        <w:rPr/>
      </w:r>
    </w:p>
    <w:p>
      <w:pPr>
        <w:pStyle w:val="Heading4"/>
        <w:ind w:hanging="0" w:start="0"/>
        <w:rPr/>
      </w:pPr>
      <w:r>
        <w:rPr/>
        <w:t>Introduction</w:t>
      </w:r>
    </w:p>
    <w:p>
      <w:pPr>
        <w:pStyle w:val="Normal"/>
        <w:rPr/>
      </w:pPr>
      <w:r>
        <w:rPr/>
      </w:r>
    </w:p>
    <w:p>
      <w:pPr>
        <w:pStyle w:val="Heading4"/>
        <w:ind w:hanging="0" w:start="0"/>
        <w:rPr/>
      </w:pPr>
      <w:r>
        <w:rPr/>
        <w:t>Projections</w:t>
      </w:r>
    </w:p>
    <w:p>
      <w:pPr>
        <w:pStyle w:val="Normal"/>
        <w:rPr/>
      </w:pPr>
      <w:r>
        <w:rPr/>
      </w:r>
    </w:p>
    <w:p>
      <w:pPr>
        <w:pStyle w:val="Heading5"/>
        <w:numPr>
          <w:ilvl w:val="4"/>
          <w:numId w:val="5"/>
        </w:numPr>
        <w:ind w:hanging="0" w:start="0"/>
        <w:rPr/>
      </w:pPr>
      <w:r>
        <w:rPr/>
        <w:t>Key Assumptions</w:t>
      </w:r>
    </w:p>
    <w:p>
      <w:pPr>
        <w:pStyle w:val="Normal"/>
        <w:rPr/>
      </w:pPr>
      <w:r>
        <w:rPr/>
      </w:r>
    </w:p>
    <w:p>
      <w:pPr>
        <w:pStyle w:val="Heading5"/>
        <w:numPr>
          <w:ilvl w:val="4"/>
          <w:numId w:val="5"/>
        </w:numPr>
        <w:ind w:hanging="0" w:start="0"/>
        <w:rPr/>
      </w:pPr>
      <w:r>
        <w:rPr/>
        <w:t>Results</w:t>
      </w:r>
    </w:p>
    <w:p>
      <w:pPr>
        <w:pStyle w:val="Normal"/>
        <w:rPr/>
      </w:pPr>
      <w:r>
        <w:rPr/>
      </w:r>
    </w:p>
    <w:p>
      <w:pPr>
        <w:pStyle w:val="Heading5"/>
        <w:numPr>
          <w:ilvl w:val="4"/>
          <w:numId w:val="5"/>
        </w:numPr>
        <w:ind w:hanging="0" w:start="0"/>
        <w:rPr/>
      </w:pPr>
      <w:r>
        <w:rPr/>
        <w:t>Historical and Projected Data</w:t>
      </w:r>
    </w:p>
    <w:p>
      <w:pPr>
        <w:pStyle w:val="Normal"/>
        <w:rPr/>
      </w:pPr>
      <w:r>
        <w:rPr/>
      </w:r>
    </w:p>
    <w:p>
      <w:pPr>
        <w:pStyle w:val="Heading2"/>
        <w:ind w:hanging="0" w:start="0"/>
        <w:rPr/>
      </w:pPr>
      <w:r>
        <w:rPr/>
        <w:t>Riogen</w:t>
      </w:r>
    </w:p>
    <w:p>
      <w:pPr>
        <w:pStyle w:val="Heading3"/>
        <w:ind w:hanging="0" w:start="0"/>
        <w:rPr/>
      </w:pPr>
      <w:r>
        <w:rPr/>
        <w:t>Description of Assets</w:t>
      </w:r>
    </w:p>
    <w:p>
      <w:pPr>
        <w:pStyle w:val="Heading4"/>
        <w:ind w:hanging="0" w:start="0"/>
        <w:rPr/>
      </w:pPr>
      <w:r>
        <w:rPr/>
        <w:t>Overview</w:t>
      </w:r>
    </w:p>
    <w:p>
      <w:pPr>
        <w:pStyle w:val="Normal"/>
        <w:rPr/>
      </w:pPr>
      <w:r>
        <w:rPr/>
        <w:t>Enron is developing a 1,000 MW gas-fired generation plant in the State of Rio de Janeiro of which 500 MW (“Riogen I”) was recently awarded Emergency Plant status by the Federal Government.  The total cost of the project is estimated to be US$650 million.</w:t>
      </w:r>
    </w:p>
    <w:p>
      <w:pPr>
        <w:pStyle w:val="Heading5"/>
        <w:numPr>
          <w:ilvl w:val="4"/>
          <w:numId w:val="5"/>
        </w:numPr>
        <w:ind w:hanging="0" w:start="0"/>
        <w:rPr/>
      </w:pPr>
      <w:r>
        <w:rPr/>
        <w:t>Physical Assets</w:t>
      </w:r>
    </w:p>
    <w:p>
      <w:pPr>
        <w:pStyle w:val="Normal"/>
        <w:rPr/>
      </w:pPr>
      <w:r>
        <w:rPr/>
        <w:t>The site will be located on one million square meters of land.  Enron currently holds the right to purchase the site through an executed Option Agreement.  The site is an attractive power plant site due to several key characteristics:</w:t>
      </w:r>
    </w:p>
    <w:p>
      <w:pPr>
        <w:pStyle w:val="Bmed1st1"/>
        <w:numPr>
          <w:ilvl w:val="0"/>
          <w:numId w:val="3"/>
        </w:numPr>
        <w:ind w:hanging="0" w:start="0"/>
        <w:rPr/>
      </w:pPr>
      <w:r>
        <w:rPr/>
        <w:t>Transportation:  The site is immediately adjacent to the Dutra, the principal highway linking Rio de Janeiro and São Paulo. This highway will greatly facilitate transportation of heavy equipment to and from the site during construction;</w:t>
      </w:r>
    </w:p>
    <w:p>
      <w:pPr>
        <w:pStyle w:val="Bmed1st1"/>
        <w:numPr>
          <w:ilvl w:val="0"/>
          <w:numId w:val="3"/>
        </w:numPr>
        <w:ind w:hanging="0" w:start="0"/>
        <w:rPr/>
      </w:pPr>
      <w:r>
        <w:rPr/>
        <w:t>Water:  The Guandu River flows on one side of the site and will provide cooling water for the plant.  Due the proximity of this source, the plant will be able to use an indirect cooling water system or “cooling towers” (1200 cubic meters per hour of cooling water);</w:t>
      </w:r>
    </w:p>
    <w:p>
      <w:pPr>
        <w:pStyle w:val="Bmed1st1"/>
        <w:numPr>
          <w:ilvl w:val="0"/>
          <w:numId w:val="3"/>
        </w:numPr>
        <w:ind w:hanging="0" w:start="0"/>
        <w:rPr/>
      </w:pPr>
      <w:r>
        <w:rPr/>
        <w:t>Electric Transmission:  Seven circuits of 138 kV and one circuit of 500 kv transmission lines run across the northern limit of the site and will allow an easy link between the plant and the power grid.  A study is currently being conducted by CEPEL, the research arm of ELETROBRAS, the state-owned power company, to determine the most efficient method on connecting the plant;</w:t>
      </w:r>
    </w:p>
    <w:p>
      <w:pPr>
        <w:pStyle w:val="Bmed1st1"/>
        <w:numPr>
          <w:ilvl w:val="0"/>
          <w:numId w:val="3"/>
        </w:numPr>
        <w:ind w:hanging="0" w:start="0"/>
        <w:rPr/>
      </w:pPr>
      <w:r>
        <w:rPr/>
        <w:t>Gas Transportation:  The site is immediately adjacent to an existing gas pipeline right-of-way belonging to the Rio de Janeiro state gas  distribution Company, CEG, which is partly owned by Enron (45%). The main transportation pipeline is approximately 10 km from the site.  A separate gas pipeline will be built from the citygate of Japeri to the site, and will follow the path of an existing pipeline to the Dutra highway, where it will proceed east to the site;</w:t>
      </w:r>
    </w:p>
    <w:p>
      <w:pPr>
        <w:pStyle w:val="Bmed1st1"/>
        <w:numPr>
          <w:ilvl w:val="0"/>
          <w:numId w:val="3"/>
        </w:numPr>
        <w:ind w:hanging="0" w:start="0"/>
        <w:rPr/>
      </w:pPr>
      <w:r>
        <w:rPr/>
        <w:t>Terrain:  The site is flat, almost free of vegetation and is physically ideal for a project of this type.</w:t>
      </w:r>
    </w:p>
    <w:p>
      <w:pPr>
        <w:pStyle w:val="Normal"/>
        <w:rPr/>
      </w:pPr>
      <w:r>
        <w:rPr/>
        <w:t>RioGen will be a combined cycle gas-fired electric generating plant.  The main generating equipment will be two power blocks (Phase I and II) each consisting of two M501F Mistubishi Heavy Industries gas turbines and generators and one steam turbine and generator.  This standard configuration is referred to as a two on one configuration.  The gas turbines will burn natural gas and directly provide the energy to turn two associated electric generators.  Enron has closed the purchase contract for the gas turbines and is currently bidding out the balance of plant equipment.  As an emergency back-up, the plant will have the ability to burn diesel fuel in the case of interruptions in the supply of natural gas to the plant.</w:t>
      </w:r>
    </w:p>
    <w:p>
      <w:pPr>
        <w:pStyle w:val="Heading5"/>
        <w:numPr>
          <w:ilvl w:val="4"/>
          <w:numId w:val="5"/>
        </w:numPr>
        <w:ind w:hanging="0" w:start="0"/>
        <w:rPr/>
      </w:pPr>
      <w:r>
        <w:rPr/>
        <w:t>Construction Schedule</w:t>
      </w:r>
    </w:p>
    <w:p>
      <w:pPr>
        <w:pStyle w:val="Normal"/>
        <w:rPr/>
      </w:pPr>
      <w:r>
        <w:rPr/>
        <w:t>The plant will be built in two phases of 500 MW each, with approximately 24 months to build each phase, and most likely, a year between the beginning of operations of Phase I and the commencement of construction of Phase II.  EPC contractors have yet to be determined.  Phase II would begin commercial operations one to two years following Phase I, which is currently expected to begin commercial operations by the end of 2002.</w:t>
      </w:r>
    </w:p>
    <w:p>
      <w:pPr>
        <w:pStyle w:val="Heading5"/>
        <w:numPr>
          <w:ilvl w:val="4"/>
          <w:numId w:val="5"/>
        </w:numPr>
        <w:ind w:hanging="0" w:start="0"/>
        <w:rPr/>
      </w:pPr>
      <w:r>
        <w:rPr/>
        <w:t>Status of Development</w:t>
      </w:r>
    </w:p>
    <w:p>
      <w:pPr>
        <w:pStyle w:val="Normal"/>
        <w:rPr/>
      </w:pPr>
      <w:r>
        <w:rPr/>
        <w:t>Riogen I has been awarded Emergency Plant status and is expected to obtain the required approvals on an expedited basis.  As discussed below, PPA and gas supply negotiations are already in progress.  Riogen II is at an earlier stage of development.</w:t>
      </w:r>
    </w:p>
    <w:p>
      <w:pPr>
        <w:pStyle w:val="Heading3"/>
        <w:ind w:hanging="0" w:start="0"/>
        <w:rPr/>
      </w:pPr>
      <w:r>
        <w:rPr/>
        <w:t>Regulation and Tariffs</w:t>
      </w:r>
    </w:p>
    <w:p>
      <w:pPr>
        <w:pStyle w:val="Normal"/>
        <w:rPr/>
      </w:pPr>
      <w:r>
        <w:rPr/>
      </w:r>
    </w:p>
    <w:p>
      <w:pPr>
        <w:pStyle w:val="Heading4"/>
        <w:ind w:hanging="0" w:start="0"/>
        <w:rPr/>
      </w:pPr>
      <w:r>
        <w:rPr/>
        <w:t>IPP Regulations</w:t>
      </w:r>
    </w:p>
    <w:p>
      <w:pPr>
        <w:pStyle w:val="Normal"/>
        <w:rPr/>
      </w:pPr>
      <w:r>
        <w:rPr/>
      </w:r>
    </w:p>
    <w:p>
      <w:pPr>
        <w:pStyle w:val="Heading4"/>
        <w:ind w:hanging="0" w:start="0"/>
        <w:rPr/>
      </w:pPr>
      <w:r>
        <w:rPr/>
        <w:t>Market Operations - Rules and Procedures</w:t>
      </w:r>
    </w:p>
    <w:p>
      <w:pPr>
        <w:pStyle w:val="Normal"/>
        <w:rPr/>
      </w:pPr>
      <w:r>
        <w:rPr/>
      </w:r>
    </w:p>
    <w:p>
      <w:pPr>
        <w:pStyle w:val="Heading3"/>
        <w:ind w:hanging="0" w:start="0"/>
        <w:rPr/>
      </w:pPr>
      <w:r>
        <w:rPr/>
        <w:t>Commercial Structure</w:t>
      </w:r>
    </w:p>
    <w:p>
      <w:pPr>
        <w:pStyle w:val="Normal"/>
        <w:rPr/>
      </w:pPr>
      <w:r>
        <w:rPr/>
      </w:r>
    </w:p>
    <w:p>
      <w:pPr>
        <w:pStyle w:val="Heading4"/>
        <w:ind w:hanging="0" w:start="0"/>
        <w:rPr/>
      </w:pPr>
      <w:r>
        <w:rPr/>
        <w:t>PPA</w:t>
      </w:r>
    </w:p>
    <w:p>
      <w:pPr>
        <w:pStyle w:val="Normal"/>
        <w:rPr/>
      </w:pPr>
      <w:r>
        <w:rPr/>
      </w:r>
    </w:p>
    <w:p>
      <w:pPr>
        <w:pStyle w:val="Heading5"/>
        <w:numPr>
          <w:ilvl w:val="4"/>
          <w:numId w:val="5"/>
        </w:numPr>
        <w:ind w:hanging="0" w:start="0"/>
        <w:rPr/>
      </w:pPr>
      <w:r>
        <w:rPr/>
        <w:t>General Terms and Conditions</w:t>
      </w:r>
    </w:p>
    <w:p>
      <w:pPr>
        <w:pStyle w:val="Normal"/>
        <w:rPr/>
      </w:pPr>
      <w:r>
        <w:rPr/>
        <w:t>Enron is in discussions with ANEEL on the final form of the power purchase agreement whereby Elektro would purchase electricity generated by RioGen.  ANEEL will respond with formal comments to the agreement by the middle of April.  Enron is also negotiating with other distributors to purchase energy from the project.</w:t>
      </w:r>
    </w:p>
    <w:p>
      <w:pPr>
        <w:pStyle w:val="Heading5"/>
        <w:numPr>
          <w:ilvl w:val="4"/>
          <w:numId w:val="5"/>
        </w:numPr>
        <w:ind w:hanging="0" w:start="0"/>
        <w:rPr/>
      </w:pPr>
      <w:r>
        <w:rPr/>
        <w:t>Tariff Structure</w:t>
      </w:r>
    </w:p>
    <w:p>
      <w:pPr>
        <w:pStyle w:val="Normal"/>
        <w:rPr/>
      </w:pPr>
      <w:r>
        <w:rPr/>
      </w:r>
    </w:p>
    <w:p>
      <w:pPr>
        <w:pStyle w:val="Heading5"/>
        <w:numPr>
          <w:ilvl w:val="4"/>
          <w:numId w:val="5"/>
        </w:numPr>
        <w:ind w:hanging="0" w:start="0"/>
        <w:rPr/>
      </w:pPr>
      <w:r>
        <w:rPr/>
        <w:t>Security Structure</w:t>
      </w:r>
    </w:p>
    <w:p>
      <w:pPr>
        <w:pStyle w:val="Normal"/>
        <w:rPr/>
      </w:pPr>
      <w:r>
        <w:rPr/>
      </w:r>
    </w:p>
    <w:p>
      <w:pPr>
        <w:pStyle w:val="Heading5"/>
        <w:numPr>
          <w:ilvl w:val="4"/>
          <w:numId w:val="5"/>
        </w:numPr>
        <w:ind w:hanging="0" w:start="0"/>
        <w:rPr/>
      </w:pPr>
      <w:r>
        <w:rPr/>
        <w:t>Current Status of Negotiations</w:t>
      </w:r>
    </w:p>
    <w:p>
      <w:pPr>
        <w:pStyle w:val="Normal"/>
        <w:rPr/>
      </w:pPr>
      <w:r>
        <w:rPr/>
      </w:r>
    </w:p>
    <w:p>
      <w:pPr>
        <w:pStyle w:val="Heading4"/>
        <w:ind w:hanging="0" w:start="0"/>
        <w:rPr/>
      </w:pPr>
      <w:r>
        <w:rPr/>
        <w:t>Gas Supply Agreement</w:t>
      </w:r>
    </w:p>
    <w:p>
      <w:pPr>
        <w:pStyle w:val="Normal"/>
        <w:rPr/>
      </w:pPr>
      <w:r>
        <w:rPr/>
        <w:t>Enron is currently negotiating the gas supply contract with CEG, the gas distributor for Rio de Janeiro.  Enron has received a firm offer for the supply of gas to the first 250 MW of capacity and is negotiating the terms and conditions for the remaining balance of Phase I.  Negotiations on the final terms and conditions are expected to be complete shortly.  CEG shall receive its gas from the citygate at Japeri, but the gas shall be supplied to them by Petrobras for Phase I, from the Campos Basin and also from Bolivia (via the Brazil and Bolivia gas pipeline already installed. Phase II fuel suppliers have yet to be determined.  Diesel back-up supplies (7,700 cubic meters per 500 MW,  which would last for three days of operation) will likely be supplied by Petrobras Distribuidora.</w:t>
      </w:r>
    </w:p>
    <w:p>
      <w:pPr>
        <w:pStyle w:val="Heading4"/>
        <w:ind w:hanging="0" w:start="0"/>
        <w:rPr/>
      </w:pPr>
      <w:r>
        <w:rPr/>
        <w:t>Transportation Agreement</w:t>
      </w:r>
    </w:p>
    <w:p>
      <w:pPr>
        <w:pStyle w:val="Normal"/>
        <w:rPr/>
      </w:pPr>
      <w:r>
        <w:rPr/>
      </w:r>
    </w:p>
    <w:p>
      <w:pPr>
        <w:pStyle w:val="Heading4"/>
        <w:ind w:hanging="0" w:start="0"/>
        <w:rPr/>
      </w:pPr>
      <w:r>
        <w:rPr/>
        <w:t>Operating Agreement</w:t>
      </w:r>
    </w:p>
    <w:p>
      <w:pPr>
        <w:pStyle w:val="Normal"/>
        <w:rPr/>
      </w:pPr>
      <w:r>
        <w:rPr/>
      </w:r>
    </w:p>
    <w:p>
      <w:pPr>
        <w:pStyle w:val="Heading4"/>
        <w:ind w:hanging="0" w:start="0"/>
        <w:rPr/>
      </w:pPr>
      <w:r>
        <w:rPr/>
        <w:t>Other Permits</w:t>
      </w:r>
    </w:p>
    <w:p>
      <w:pPr>
        <w:pStyle w:val="Normal"/>
        <w:rPr/>
      </w:pPr>
      <w:r>
        <w:rPr/>
        <w:t>Environmental concerns are minimal.  The São Paulo-based consultancy, Mineral is preparing a major environmental impact assessments (EIS, known in Brazil as an EIA-RIMA) which will be submitted to FEEMA, the Rio State environmental agency, before FEEMA grants authorization.  The final EIA-RMA will be complete and ready for submittal shortly.  Based on normal timing, we expect to receive the environmental license within two months.  Since there is the right-of-way for an existing CEG pipeline, the only other right-of-way needed paralleling the Dutra requires authorization just from the federal transportation agency (DNER).  The water taken from the river will be returned well inside chemical limits, and the emissions generated by the plant shall be well under the limits established by World Bank.  Noise is also kept to a level within established state limits (85 decibels at exactly 1 meter from the enclosure).</w:t>
      </w:r>
    </w:p>
    <w:p>
      <w:pPr>
        <w:pStyle w:val="Normal"/>
        <w:rPr/>
      </w:pPr>
      <w:r>
        <w:rPr/>
        <w:t>Enron has filed for the IPP license for the project and expects to receive its license within 1 month.  Other permits are in the process of being filed.</w:t>
      </w:r>
    </w:p>
    <w:p>
      <w:pPr>
        <w:pStyle w:val="Normal"/>
        <w:rPr/>
      </w:pPr>
      <w:r>
        <w:rPr/>
        <w:t>The project is strongly supported by the city government of Seropedica, who recently approved measures to reduce taxes (ISS, taxes for services) associated with the project. Another key government entity is the Rio state government’s energy ministry, which is lobbying the Rio state tax ministry to also defer taxes for 20 years, specifically ICMS (tax on products, that is, equipment and natural gas).  The project was also on the federal government’s “Emergency Plan” list released on February 25, 2000, which shall enjoy selected benefits.</w:t>
      </w:r>
    </w:p>
    <w:p>
      <w:pPr>
        <w:pStyle w:val="Heading3"/>
        <w:ind w:hanging="0" w:start="0"/>
        <w:rPr/>
      </w:pPr>
      <w:r>
        <w:rPr/>
        <w:t>Ownership and Governance</w:t>
      </w:r>
    </w:p>
    <w:p>
      <w:pPr>
        <w:pStyle w:val="Heading4"/>
        <w:ind w:hanging="0" w:start="0"/>
        <w:rPr/>
      </w:pPr>
      <w:r>
        <w:rPr/>
        <w:t>Ownership Structure</w:t>
      </w:r>
    </w:p>
    <w:p>
      <w:pPr>
        <w:pStyle w:val="Normal"/>
        <w:rPr/>
      </w:pPr>
      <w:r>
        <w:rPr/>
        <w:t>In accordance with the CEG/CEG-Rio shareholders' agreement, it is likely that Enron's partners in CEG/CEG-Rio will be given the opportunity to participate in Riogen.  While final shareholdings have yet to be agreed, Enron will in any event retain a majority interest in the project.</w:t>
      </w:r>
    </w:p>
    <w:p>
      <w:pPr>
        <w:pStyle w:val="Normal"/>
        <w:rPr/>
      </w:pPr>
      <w:r>
        <w:rPr/>
        <w:t>[PROVIDE FURTHER INFORMATION]</w:t>
      </w:r>
    </w:p>
    <w:p>
      <w:pPr>
        <w:pStyle w:val="Heading4"/>
        <w:ind w:hanging="0" w:start="0"/>
        <w:rPr/>
      </w:pPr>
      <w:r>
        <w:rPr/>
        <w:t>Other Provisions</w:t>
      </w:r>
    </w:p>
    <w:p>
      <w:pPr>
        <w:pStyle w:val="Normal"/>
        <w:rPr/>
      </w:pPr>
      <w:r>
        <w:rPr/>
      </w:r>
    </w:p>
    <w:p>
      <w:pPr>
        <w:pStyle w:val="Heading3"/>
        <w:ind w:hanging="0" w:start="0"/>
        <w:rPr/>
      </w:pPr>
      <w:r>
        <w:rPr/>
        <w:t>Employees</w:t>
      </w:r>
    </w:p>
    <w:p>
      <w:pPr>
        <w:pStyle w:val="Normal"/>
        <w:rPr/>
      </w:pPr>
      <w:r>
        <w:rPr/>
      </w:r>
    </w:p>
    <w:p>
      <w:pPr>
        <w:pStyle w:val="Heading3"/>
        <w:ind w:hanging="0" w:start="0"/>
        <w:rPr/>
      </w:pPr>
      <w:r>
        <w:rPr/>
        <w:t>Special Considerations</w:t>
      </w:r>
    </w:p>
    <w:p>
      <w:pPr>
        <w:pStyle w:val="Normal"/>
        <w:rPr/>
      </w:pPr>
      <w:r>
        <w:rPr/>
      </w:r>
    </w:p>
    <w:p>
      <w:pPr>
        <w:pStyle w:val="Heading3"/>
        <w:ind w:hanging="0" w:start="0"/>
        <w:rPr/>
      </w:pPr>
      <w:r>
        <w:rPr/>
        <w:t>Financial Information</w:t>
      </w:r>
    </w:p>
    <w:p>
      <w:pPr>
        <w:pStyle w:val="Normal"/>
        <w:rPr/>
      </w:pPr>
      <w:r>
        <w:rPr/>
      </w:r>
    </w:p>
    <w:p>
      <w:pPr>
        <w:pStyle w:val="Heading4"/>
        <w:ind w:hanging="0" w:start="0"/>
        <w:rPr/>
      </w:pPr>
      <w:r>
        <w:rPr/>
        <w:t>Introduction</w:t>
      </w:r>
    </w:p>
    <w:p>
      <w:pPr>
        <w:pStyle w:val="Normal"/>
        <w:rPr/>
      </w:pPr>
      <w:r>
        <w:rPr/>
      </w:r>
    </w:p>
    <w:p>
      <w:pPr>
        <w:pStyle w:val="Heading4"/>
        <w:ind w:hanging="0" w:start="0"/>
        <w:rPr/>
      </w:pPr>
      <w:r>
        <w:rPr/>
        <w:t>Projections</w:t>
      </w:r>
    </w:p>
    <w:p>
      <w:pPr>
        <w:pStyle w:val="Normal"/>
        <w:rPr/>
      </w:pPr>
      <w:r>
        <w:rPr/>
      </w:r>
    </w:p>
    <w:p>
      <w:pPr>
        <w:pStyle w:val="Heading5"/>
        <w:numPr>
          <w:ilvl w:val="4"/>
          <w:numId w:val="5"/>
        </w:numPr>
        <w:ind w:hanging="0" w:start="0"/>
        <w:rPr/>
      </w:pPr>
      <w:r>
        <w:rPr/>
        <w:t>Key Assumptions</w:t>
      </w:r>
    </w:p>
    <w:p>
      <w:pPr>
        <w:pStyle w:val="Normal"/>
        <w:rPr/>
      </w:pPr>
      <w:r>
        <w:rPr/>
      </w:r>
    </w:p>
    <w:p>
      <w:pPr>
        <w:pStyle w:val="Heading5"/>
        <w:numPr>
          <w:ilvl w:val="4"/>
          <w:numId w:val="5"/>
        </w:numPr>
        <w:ind w:hanging="0" w:start="0"/>
        <w:rPr/>
      </w:pPr>
      <w:r>
        <w:rPr/>
        <w:t>Results</w:t>
      </w:r>
    </w:p>
    <w:p>
      <w:pPr>
        <w:pStyle w:val="Normal"/>
        <w:rPr/>
      </w:pPr>
      <w:r>
        <w:rPr/>
      </w:r>
    </w:p>
    <w:p>
      <w:pPr>
        <w:pStyle w:val="Heading5"/>
        <w:numPr>
          <w:ilvl w:val="4"/>
          <w:numId w:val="5"/>
        </w:numPr>
        <w:ind w:hanging="0" w:start="0"/>
        <w:rPr/>
      </w:pPr>
      <w:r>
        <w:rPr/>
        <w:t>Historical and Projected Financial Data</w:t>
      </w:r>
    </w:p>
    <w:p>
      <w:pPr>
        <w:pStyle w:val="Normal"/>
        <w:spacing w:before="0" w:after="220"/>
        <w:rPr>
          <w:caps/>
        </w:rPr>
      </w:pPr>
      <w:r>
        <w:rPr>
          <w:caps/>
        </w:rPr>
      </w:r>
    </w:p>
    <w:sectPr>
      <w:headerReference w:type="default" r:id="rId5"/>
      <w:footerReference w:type="default" r:id="rId6"/>
      <w:type w:val="nextPage"/>
      <w:pgSz w:w="12240" w:h="15840"/>
      <w:pgMar w:left="4678" w:right="1077" w:gutter="0" w:header="1440" w:top="1496" w:footer="431" w:bottom="1440"/>
      <w:pgNumType w:start="14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p>
  <w:p>
    <w:pPr>
      <w:pStyle w:val="zSection"/>
      <w:tabs>
        <w:tab w:val="clear" w:pos="720"/>
        <w:tab w:val="left" w:pos="2835" w:leader="none"/>
      </w:tabs>
      <w:spacing w:before="0" w:after="240"/>
      <w:rPr/>
    </w:pPr>
    <w:r>
      <w:rPr>
        <w:rFonts w:cs="Arial" w:ascii="Arial" w:hAnsi="Arial"/>
        <w:sz w:val="12"/>
      </w:rPr>
      <w:t>LNCFD/251401/</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9:38</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190</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pBdr>
        <w:bottom w:val="single" w:sz="18" w:space="4" w:color="000000"/>
      </w:pBdr>
      <w:spacing w:lineRule="auto" w:line="240" w:before="0" w:after="280"/>
      <w:ind w:hanging="446" w:start="446" w:end="0"/>
      <w:jc w:val="start"/>
      <w:rPr/>
    </w:pPr>
    <w:r>
      <w:rPr/>
      <w:fldChar w:fldCharType="begin"/>
    </w:r>
    <w:r>
      <w:rPr/>
      <w:instrText xml:space="preserve"> IF  "" ""</w:instrText>
    </w:r>
    <w:r>
      <w:rPr/>
      <w:fldChar w:fldCharType="separate"/>
    </w:r>
    <w:r>
      <w:rPr/>
    </w:r>
    <w:r>
      <w:rPr/>
      <w:fldChar w:fldCharType="end"/>
    </w:r>
    <w:r>
      <w:rPr/>
      <w:t xml:space="preserve">V. </w:t>
      <w:tab/>
      <w:t>Power Generation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5"/>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3"/>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jc w:val="start"/>
      <w:outlineLvl w:val="0"/>
    </w:pPr>
    <w:rPr>
      <w:kern w:val="2"/>
    </w:rPr>
  </w:style>
  <w:style w:type="paragraph" w:styleId="Heading2">
    <w:name w:val="heading 2"/>
    <w:basedOn w:val="Normal"/>
    <w:next w:val="Normal"/>
    <w:qFormat/>
    <w:pPr>
      <w:keepNext w:val="true"/>
      <w:numPr>
        <w:ilvl w:val="1"/>
        <w:numId w:val="1"/>
      </w:numPr>
      <w:jc w:val="start"/>
      <w:outlineLvl w:val="1"/>
    </w:pPr>
    <w:rPr/>
  </w:style>
  <w:style w:type="paragraph" w:styleId="Heading3">
    <w:name w:val="heading 3"/>
    <w:basedOn w:val="Normal"/>
    <w:next w:val="Normal"/>
    <w:qFormat/>
    <w:pPr>
      <w:keepNext w:val="true"/>
      <w:numPr>
        <w:ilvl w:val="2"/>
        <w:numId w:val="1"/>
      </w:numPr>
      <w:jc w:val="start"/>
      <w:outlineLvl w:val="2"/>
    </w:pPr>
    <w:rPr/>
  </w:style>
  <w:style w:type="paragraph" w:styleId="Heading4">
    <w:name w:val="heading 4"/>
    <w:basedOn w:val="Normal"/>
    <w:next w:val="Normal"/>
    <w:qFormat/>
    <w:pPr>
      <w:keepNext w:val="true"/>
      <w:numPr>
        <w:ilvl w:val="3"/>
        <w:numId w:val="1"/>
      </w:numPr>
      <w:jc w:val="start"/>
      <w:outlineLvl w:val="3"/>
    </w:pPr>
    <w:rPr/>
  </w:style>
  <w:style w:type="paragraph" w:styleId="Heading5">
    <w:name w:val="heading 5"/>
    <w:basedOn w:val="Normal"/>
    <w:next w:val="Normal"/>
    <w:qFormat/>
    <w:pPr>
      <w:keepNext w:val="true"/>
      <w:numPr>
        <w:ilvl w:val="0"/>
        <w:numId w:val="5"/>
      </w:numPr>
      <w:jc w:val="start"/>
      <w:outlineLvl w:val="4"/>
    </w:pPr>
    <w:rPr>
      <w:i/>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color w:val="000000"/>
      <w:sz w:val="16"/>
    </w:rPr>
  </w:style>
  <w:style w:type="character" w:styleId="WW8Num3z0">
    <w:name w:val="WW8Num3z0"/>
    <w:qFormat/>
    <w:rPr/>
  </w:style>
  <w:style w:type="character" w:styleId="WW8Num5z0">
    <w:name w:val="WW8Num5z0"/>
    <w:qFormat/>
    <w:rPr>
      <w:rFonts w:ascii="Symbol" w:hAnsi="Symbol" w:cs="Symbol"/>
    </w:rPr>
  </w:style>
  <w:style w:type="character" w:styleId="WW8Num6z0">
    <w:name w:val="WW8Num6z0"/>
    <w:qFormat/>
    <w:rPr>
      <w:rFonts w:ascii="Symbol" w:hAnsi="Symbol" w:cs="Symbol"/>
      <w:color w:val="000000"/>
      <w:sz w:val="16"/>
    </w:rPr>
  </w:style>
  <w:style w:type="character" w:styleId="WW8Num8z0">
    <w:name w:val="WW8Num8z0"/>
    <w:qFormat/>
    <w:rPr>
      <w:rFonts w:ascii="Symbol" w:hAnsi="Symbol" w:cs="Symbol"/>
    </w:rPr>
  </w:style>
  <w:style w:type="character" w:styleId="WW8Num9z0">
    <w:name w:val="WW8Num9z0"/>
    <w:qFormat/>
    <w:rPr>
      <w:rFonts w:ascii="Symbol" w:hAnsi="Symbol" w:cs="Symbol"/>
      <w:color w:val="000000"/>
      <w:sz w:val="16"/>
    </w:rPr>
  </w:style>
  <w:style w:type="character" w:styleId="WW8Num11z0">
    <w:name w:val="WW8Num11z0"/>
    <w:qFormat/>
    <w:rPr>
      <w:rFonts w:ascii="Symbol" w:hAnsi="Symbol" w:cs="Symbol"/>
    </w:rPr>
  </w:style>
  <w:style w:type="character" w:styleId="WW8Num12z0">
    <w:name w:val="WW8Num12z0"/>
    <w:qFormat/>
    <w:rPr>
      <w:rFonts w:ascii="Symbol" w:hAnsi="Symbol" w:cs="Symbol"/>
      <w:color w:val="000000"/>
      <w:sz w:val="16"/>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character" w:styleId="ital">
    <w:name w:val="ital"/>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med1st0">
    <w:name w:val="B/med/1st/0"/>
    <w:basedOn w:val="Normalmed"/>
    <w:qFormat/>
    <w:pPr>
      <w:numPr>
        <w:ilvl w:val="0"/>
        <w:numId w:val="4"/>
      </w:numPr>
    </w:pPr>
    <w:rPr/>
  </w:style>
  <w:style w:type="paragraph" w:styleId="BLKmed1st1">
    <w:name w:val="BLK/med/1st/1"/>
    <w:basedOn w:val="Normal"/>
    <w:qFormat/>
    <w:pPr/>
    <w:rPr>
      <w:lang w:val="en-US"/>
    </w:rPr>
  </w:style>
  <w:style w:type="paragraph" w:styleId="Bmed1st1">
    <w:name w:val="B/med/1st/1"/>
    <w:basedOn w:val="Bmed1st0"/>
    <w:qFormat/>
    <w:pPr>
      <w:numPr>
        <w:ilvl w:val="0"/>
        <w:numId w:val="3"/>
      </w:numPr>
      <w:spacing w:before="0" w:after="220"/>
    </w:pPr>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med1st5">
    <w:name w:val="B/med/1st/.5"/>
    <w:basedOn w:val="Bmed1st0"/>
    <w:qFormat/>
    <w:pPr>
      <w:spacing w:before="0" w:after="110"/>
    </w:pPr>
    <w:rPr/>
  </w:style>
  <w:style w:type="paragraph" w:styleId="TableTitlemed5">
    <w:name w:val="Table Title/med/.5"/>
    <w:basedOn w:val="Normal"/>
    <w:qFormat/>
    <w:pPr>
      <w:keepNext w:val="true"/>
      <w:keepLines/>
      <w:spacing w:lineRule="auto" w:line="240" w:before="0" w:after="100"/>
      <w:jc w:val="start"/>
    </w:pPr>
    <w:rPr>
      <w:rFonts w:ascii="Arial Narrow" w:hAnsi="Arial Narrow" w:cs="Arial Narrow"/>
      <w:b/>
      <w:sz w:val="20"/>
      <w:lang w:val="en-US"/>
    </w:rPr>
  </w:style>
  <w:style w:type="paragraph" w:styleId="FootnoteText">
    <w:name w:val="footnote text"/>
    <w:basedOn w:val="Normal"/>
    <w:pPr>
      <w:spacing w:lineRule="auto" w:line="240" w:before="0" w:after="0"/>
      <w:jc w:val="start"/>
    </w:pPr>
    <w:rPr>
      <w:sz w:val="2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2000-03-24T15:28:00Z</dcterms:created>
  <dc:creator>Patrick Gylling</dc:creator>
  <dc:description/>
  <dc:language>en-CA</dc:language>
  <cp:lastModifiedBy>SVC_ParkStreet</cp:lastModifiedBy>
  <cp:lastPrinted>2000-03-24T19:05:00Z</cp:lastPrinted>
  <dcterms:modified xsi:type="dcterms:W3CDTF">2000-03-24T16:53:00Z</dcterms:modified>
  <cp:revision>6</cp:revision>
  <dc:subject/>
  <dc:title>1 Section IV</dc:title>
</cp:coreProperties>
</file>