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Strategic Overview</w:t>
      </w:r>
    </w:p>
    <w:p>
      <w:pPr>
        <w:pStyle w:val="Heading3"/>
        <w:ind w:hanging="0" w:start="0"/>
        <w:rPr/>
      </w:pPr>
      <w:r>
        <w:rPr/>
        <w:t>Introduction</w:t>
      </w:r>
    </w:p>
    <w:p>
      <w:pPr>
        <w:pStyle w:val="BLKmed1st1"/>
        <w:rPr/>
      </w:pPr>
      <w:r>
        <w:rPr/>
        <w:t>Through its interests in CEG/CEG-Rio and Gaspart, Enron has substantially the largest natural gas distribution business in Brazil with a market share of some 64% based on 1999 volumes distributed.  CEG/CEG-Rio are currently selling some 3.6 MMm</w:t>
      </w:r>
      <w:r>
        <w:rPr>
          <w:vertAlign w:val="superscript"/>
        </w:rPr>
        <w:t>3</w:t>
      </w:r>
      <w:r>
        <w:rPr/>
        <w:t>/day while the Gaspart LDCs sell some 4.0 MM</w:t>
      </w:r>
      <w:r>
        <w:rPr>
          <w:vertAlign w:val="superscript"/>
        </w:rPr>
        <w:t>3</w:t>
      </w:r>
      <w:r>
        <w:rPr/>
        <w:t>/day.  The total population of the states served by Enron’s gas LDCs is approximately 57 million and their combined GDP is approximately US$265 billion.  All of its gas LDCs have exclusive concession contracts and substantial untapped demand.  Enron estimates that, by 2005, volume sales through the CEG/CEG-Rio and Gaspart systems could be 10.4 MMm</w:t>
      </w:r>
      <w:r>
        <w:rPr>
          <w:vertAlign w:val="superscript"/>
        </w:rPr>
        <w:t>3</w:t>
      </w:r>
      <w:r>
        <w:rPr/>
        <w:t>/day and 19.6 MMm</w:t>
      </w:r>
      <w:r>
        <w:rPr>
          <w:vertAlign w:val="superscript"/>
        </w:rPr>
        <w:t>3</w:t>
      </w:r>
      <w:r>
        <w:rPr/>
        <w:t>/day, respectively.</w:t>
      </w:r>
    </w:p>
    <w:p>
      <w:pPr>
        <w:pStyle w:val="BLKmed1st1"/>
        <w:rPr/>
      </w:pPr>
      <w:r>
        <w:rPr/>
        <w:t xml:space="preserve">The Gaspart companies are highly strategically located. In the South of Brazil, they are present in the States of Paraná and Santa Catarina, both fast growing, well developed, wealthy and relatively industrialized states.  In the northeast, Gaspart is present in the two largest states, Bahia and Pernambuco, and in three smaller states, Sergipe, Alagoas and Paraiba.  </w:t>
      </w:r>
    </w:p>
    <w:p>
      <w:pPr>
        <w:pStyle w:val="BLKmed1st1"/>
        <w:rPr/>
      </w:pPr>
      <w:r>
        <w:rPr/>
        <w:t>The map below shows the location of Enron’s gas LDCs in Brazil:</w:t>
      </w:r>
    </w:p>
    <w:p>
      <w:pPr>
        <w:pStyle w:val="BLKmed1st1"/>
        <w:rPr/>
      </w:pPr>
      <w:bookmarkStart w:id="0" w:name="_1015421314"/>
      <w:bookmarkStart w:id="1" w:name="_1015421034"/>
      <w:bookmarkStart w:id="2" w:name="_1015403411"/>
      <w:bookmarkStart w:id="3" w:name="_1015403077"/>
      <w:bookmarkEnd w:id="0"/>
      <w:bookmarkEnd w:id="1"/>
      <w:bookmarkEnd w:id="2"/>
      <w:bookmarkEnd w:id="3"/>
      <w:r>
        <w:rPr/>
        <w:object w:dxaOrig="6276" w:dyaOrig="589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13.8pt;height:294.65pt" filled="f" o:ole="">
            <v:imagedata r:id="rId3" o:title=""/>
          </v:shape>
          <o:OLEObject Type="Embed" ProgID="" ShapeID="ole_rId2" DrawAspect="Content" ObjectID="_760693650" r:id="rId2"/>
        </w:object>
      </w:r>
    </w:p>
    <w:p>
      <w:pPr>
        <w:pStyle w:val="Normal"/>
        <w:rPr/>
      </w:pPr>
      <w:r>
        <w:rPr/>
        <w:t>As reserves and natural gas infrastructure are developed in Brazil, so the option value of Enron’s position in CEG/CEG-Rio and Gaspart will increase.  Significant arbitrage opportunities will emerge from Enron’s ability to switch gas between markets and to engage in gas and power swaps and other transactions between its multiple assets in the region as well as between Enron companies and third parties.</w:t>
      </w:r>
    </w:p>
    <w:p>
      <w:pPr>
        <w:pStyle w:val="Heading3"/>
        <w:ind w:hanging="0" w:start="0"/>
        <w:rPr/>
      </w:pPr>
      <w:r>
        <w:rPr/>
        <w:t>Market Overview</w:t>
      </w:r>
    </w:p>
    <w:p>
      <w:pPr>
        <w:pStyle w:val="Heading4"/>
        <w:ind w:hanging="0" w:start="0"/>
        <w:rPr/>
      </w:pPr>
      <w:r>
        <w:rPr/>
        <w:t>Gas Supply</w:t>
      </w:r>
    </w:p>
    <w:p>
      <w:pPr>
        <w:pStyle w:val="Heading4"/>
        <w:ind w:hanging="0" w:start="0"/>
        <w:rPr/>
      </w:pPr>
      <w:r>
        <w:rPr/>
        <w:t>Location</w:t>
      </w:r>
    </w:p>
    <w:p>
      <w:pPr>
        <w:pStyle w:val="Normal"/>
        <w:rPr/>
      </w:pPr>
      <w:r>
        <w:rPr/>
        <w:t>Enron’s southern Brazil gas LDCs are strategically located next to Brazil’s largest, lowest cost and most flexible gas supplies in the Campos and Santos Basins as well as having access to imported gas from Bolivia and Argentina.  In the Northeast, the Gaspart LDCs are supplied by Petrobras reserves in the Northeast region which also offer substantial flexibility.</w:t>
      </w:r>
    </w:p>
    <w:p>
      <w:pPr>
        <w:pStyle w:val="Heading5"/>
        <w:rPr/>
      </w:pPr>
      <w:r>
        <w:rPr/>
        <w:t>Volumes</w:t>
      </w:r>
    </w:p>
    <w:p>
      <w:pPr>
        <w:pStyle w:val="Normal"/>
        <w:rPr/>
      </w:pPr>
      <w:r>
        <w:rPr/>
        <w:t>The majority of the gas consumed by Enron’s gas LDCs is currently supplied by Petrobras from domestic gas sourced from the Campos and Northeast Basins. On completion of BBPL in 1999, however, gas from Bolivia started flowing at approximately 3 MMm</w:t>
      </w:r>
      <w:r>
        <w:rPr>
          <w:vertAlign w:val="superscript"/>
        </w:rPr>
        <w:t>3</w:t>
      </w:r>
      <w:r>
        <w:rPr/>
        <w:t>/day by the end of 1999.  Volumes are expected to increase gradually to 24 MMm</w:t>
      </w:r>
      <w:r>
        <w:rPr>
          <w:vertAlign w:val="superscript"/>
        </w:rPr>
        <w:t>3</w:t>
      </w:r>
      <w:r>
        <w:rPr/>
        <w:t>/day by 2007 and with additional compression, capacity can be increased up to 30 MMm</w:t>
      </w:r>
      <w:r>
        <w:rPr>
          <w:vertAlign w:val="superscript"/>
        </w:rPr>
        <w:t>3</w:t>
      </w:r>
      <w:r>
        <w:rPr/>
        <w:t>/day.  The pipeline is expected to reach Porto Alegre in 2Q 2000, passing through both Paraná and Santa Catarina en route. BBPL will be the principal conduit for the supply of gas to Compagas and SCGas.</w:t>
      </w:r>
    </w:p>
    <w:p>
      <w:pPr>
        <w:pStyle w:val="Heading4"/>
        <w:ind w:hanging="0" w:start="0"/>
        <w:rPr/>
      </w:pPr>
      <w:r>
        <w:rPr/>
        <w:t>Gas Demand</w:t>
      </w:r>
    </w:p>
    <w:p>
      <w:pPr>
        <w:pStyle w:val="Normal"/>
        <w:rPr/>
      </w:pPr>
      <w:r>
        <w:rPr/>
        <w:t>Only the States of Rio de Janeiro, São Paulo and Bahia have material natural gas consumption at this time.  However, with the completion of BBPL and the build out of local distribution networks in several states in Brazil, most states along the Atlantic Coast are expected to experience substantial increases in the consumption of natural gas.</w:t>
      </w:r>
    </w:p>
    <w:p>
      <w:pPr>
        <w:pStyle w:val="Heading5"/>
        <w:rPr/>
      </w:pPr>
      <w:r>
        <w:rPr/>
        <w:t>Rio de Janeiro</w:t>
      </w:r>
    </w:p>
    <w:p>
      <w:pPr>
        <w:pStyle w:val="Normal"/>
        <w:rPr/>
      </w:pPr>
      <w:r>
        <w:rPr/>
        <w:t>The State of Rio de Janeiro has one of the most developed natural gas markets in Brazil, with natural gas currently representing approximately 13% of the State’s energy mix.  Moreover, the share of natural gas is expected to increase further as additional customers are connected to the network and new industrial customers and power generation projects take advantage of the low cost and flexible gas available in the State.</w:t>
      </w:r>
    </w:p>
    <w:p>
      <w:pPr>
        <w:pStyle w:val="Heading5"/>
        <w:rPr/>
      </w:pPr>
      <w:r>
        <w:rPr/>
        <w:t>Northeast Brazil</w:t>
      </w:r>
    </w:p>
    <w:p>
      <w:pPr>
        <w:pStyle w:val="Normal"/>
        <w:rPr/>
      </w:pPr>
      <w:r>
        <w:rPr/>
        <w:t>The State of Bahia also has significant gas pipeline infrastructure as a result of the availability of and demand for natural gas in the State following the discovery of oil in Bahia and the development of the Camaçarí petrochemicals complex.  While demand is currently limited to a small number of large industrial consumers, the Northeast Gaspart LDCs represent a platform for the development of a major gas distribution business in the Northeast of Brazil.</w:t>
      </w:r>
    </w:p>
    <w:p>
      <w:pPr>
        <w:pStyle w:val="Heading5"/>
        <w:rPr/>
      </w:pPr>
      <w:r>
        <w:rPr/>
        <w:t>Power Generation</w:t>
      </w:r>
    </w:p>
    <w:p>
      <w:pPr>
        <w:pStyle w:val="Normal"/>
        <w:rPr/>
      </w:pPr>
      <w:r>
        <w:rPr/>
        <w:t>The power generation sector is widely expected to be the prime engine of natural gas demand growth throughout Brazil.  Given the near exhaustion of the northeast region’s exploitable hydroelectric resources, new power generation capacity required to meet rapidly growing electricity demand will certainly be thermal and most likely gas-fired, either with local Brazilian gas from onshore and offshore fields in the Northeast, or with imported LNG, or through the extension northwards of the BBPL.  In addition, it is only a matter of time before the gas transmission infrastructure in the Southeast is interconnected with the Northeast, creating a huge market in which Enron’s LDCs will be substantially the largest participant and the supplier of choice for new entrants to the power generation market.  The State of Rio de Janeiro has the added advantage of being a substantial net importer of power, primarily from São Paulo.  As a result, new power generation facilities located in Rio de Janeiro not only have access to low cost and flexible gas, but they also face minimal transmission charges to deliver their power to market.</w:t>
      </w:r>
    </w:p>
    <w:p>
      <w:pPr>
        <w:pStyle w:val="Normal"/>
        <w:rPr/>
      </w:pPr>
      <w:r>
        <w:rPr/>
        <w:t>The potential market for the supply of natural gas to the power generation sector is therefore substantial and anticipated to be in the range of 2,000 - 3,000 MW of Emergency Plant in Rio de Janeiro alone.  A further 2,000 MW is likely to be developed in the Northeast and at least 450 MW in each of Paraná and Santa Catarina.  Using a 70% load factor, this would represent incremental gas sales for CEG/CEG-Rio and the Gaspart LDCs of 20 to 30 MMm</w:t>
      </w:r>
      <w:r>
        <w:rPr>
          <w:vertAlign w:val="superscript"/>
        </w:rPr>
        <w:t>3</w:t>
      </w:r>
      <w:r>
        <w:rPr/>
        <w:t>/day when this capacity enters service.</w:t>
      </w:r>
    </w:p>
    <w:p>
      <w:pPr>
        <w:pStyle w:val="Heading5"/>
        <w:rPr/>
      </w:pPr>
      <w:r>
        <w:rPr/>
        <w:t>Competition</w:t>
      </w:r>
    </w:p>
    <w:p>
      <w:pPr>
        <w:pStyle w:val="Normal"/>
        <w:rPr/>
      </w:pPr>
      <w:r>
        <w:rPr/>
        <w:t>Given the closed-access nature of the gas LDCs, competition for natural gas comes mainly from competing fuels, in particular LPG, which is currently subsidized although these subsidies are in the process of elimination.  As a result of its environmental and other advantages, natural gas is well positioned to grow its market share strongly in the coming years.</w:t>
      </w:r>
    </w:p>
    <w:p>
      <w:pPr>
        <w:pStyle w:val="Heading3"/>
        <w:ind w:hanging="0" w:start="0"/>
        <w:rPr/>
      </w:pPr>
      <w:r>
        <w:rPr/>
        <w:t>Key Investment Considerations</w:t>
      </w:r>
    </w:p>
    <w:p>
      <w:pPr>
        <w:pStyle w:val="Heading4"/>
        <w:ind w:hanging="0" w:start="0"/>
        <w:rPr/>
      </w:pPr>
      <w:r>
        <w:rPr/>
        <w:t>Key Link in Brazilian Gas Strategy</w:t>
      </w:r>
    </w:p>
    <w:p>
      <w:pPr>
        <w:pStyle w:val="Normal"/>
        <w:rPr/>
      </w:pPr>
      <w:r>
        <w:rPr/>
        <w:t>Through its gas LDC investments, Enron has acquired access to additional anchor demand for gas to complement the demand for gas from its potential gas-fired power generation projects.  In view of their exclusive concession areas and attractive gas supply terms, CEG/CEG-Rio and the Gaspart LDCs will also play key roles in attracting new gas-fired generation capacity to their respective service territories.</w:t>
      </w:r>
    </w:p>
    <w:p>
      <w:pPr>
        <w:pStyle w:val="Heading4"/>
        <w:ind w:hanging="0" w:start="0"/>
        <w:rPr/>
      </w:pPr>
      <w:r>
        <w:rPr/>
        <w:t>Exclusive and Closed Access Gas Franchises</w:t>
      </w:r>
    </w:p>
    <w:p>
      <w:pPr>
        <w:pStyle w:val="Normal"/>
        <w:rPr/>
      </w:pPr>
      <w:r>
        <w:rPr/>
        <w:t>Enron’s gas LDCs possess concession contracts that provide for exclusive and closed access systems where customers are obliged to purchase from the respective LDC. Customers of CEG/CEG-Rio with demand greater than 100,000 m</w:t>
      </w:r>
      <w:r>
        <w:rPr>
          <w:vertAlign w:val="superscript"/>
        </w:rPr>
        <w:t>3</w:t>
      </w:r>
      <w:r>
        <w:rPr/>
        <w:t>/day have the right to seek alternative gas supply options beginning in 2007.  However, any such customer who chooses to purchase gas from alternative sources must pay CEG/CEG-Rio the difference between such customer's cost of gas supply and CEG/CEG-Rio's cost to purchase that same gas.  No large customer or other concessionaire has the right to build physical bypass capabilities in any of Enron’s LDC service territories.</w:t>
      </w:r>
    </w:p>
    <w:p>
      <w:pPr>
        <w:pStyle w:val="Heading4"/>
        <w:ind w:hanging="0" w:start="0"/>
        <w:rPr/>
      </w:pPr>
      <w:r>
        <w:rPr/>
        <w:t>Access to Attractive Gas Supplies</w:t>
      </w:r>
    </w:p>
    <w:p>
      <w:pPr>
        <w:pStyle w:val="Normal"/>
        <w:rPr/>
      </w:pPr>
      <w:r>
        <w:rPr/>
        <w:t>Enron’s gas LDCs are strategically located to access gas supplies from any or all of Bolivian and Northwestern Argentina gas via BBPL, domestic gas from the Campos, Santos and Northeast basins and, eventually, Western and Southern Argentina gas via TGM and/or Cruz del Sur. They will also be able to exploit opportunities arising from price and volume (especially take-or-pay) differentials between the various sources of gas supply.</w:t>
      </w:r>
    </w:p>
    <w:p>
      <w:pPr>
        <w:pStyle w:val="Heading4"/>
        <w:ind w:hanging="0" w:start="0"/>
        <w:rPr/>
      </w:pPr>
      <w:r>
        <w:rPr/>
        <w:t>Access to Growing Interruptible Industrial Base</w:t>
      </w:r>
    </w:p>
    <w:p>
      <w:pPr>
        <w:pStyle w:val="Normal"/>
        <w:rPr/>
      </w:pPr>
      <w:r>
        <w:rPr/>
        <w:t>Enron’s gas LDC concessions provide access to a large industrial base.  The companies are currently serving 622 industrial, customers whose load can be interrupted, thereby providing significant flexibility in managing supplies to gas-fired power generation capacity.</w:t>
      </w:r>
    </w:p>
    <w:p>
      <w:pPr>
        <w:pStyle w:val="Heading4"/>
        <w:ind w:hanging="0" w:start="0"/>
        <w:rPr/>
      </w:pPr>
      <w:r>
        <w:rPr/>
        <w:t>Attraction of Rio de Janeiro as Location for New Gas-fired Generation Capacity</w:t>
      </w:r>
    </w:p>
    <w:p>
      <w:pPr>
        <w:pStyle w:val="Normal"/>
        <w:rPr/>
      </w:pPr>
      <w:r>
        <w:rPr/>
        <w:t>In addition to its access to low cost and flexible sources of gas supply, Rio de Janeiro offers new power generation facilities the advantage of minimal transmission charges as a result of its current status as a substantial net importer of electricity.</w:t>
      </w:r>
    </w:p>
    <w:p>
      <w:pPr>
        <w:pStyle w:val="Heading4"/>
        <w:ind w:hanging="0" w:start="0"/>
        <w:rPr/>
      </w:pPr>
      <w:r>
        <w:rPr/>
        <w:t>Large Unmet Demand and Rapid Growth</w:t>
      </w:r>
    </w:p>
    <w:p>
      <w:pPr>
        <w:pStyle w:val="Normal"/>
        <w:rPr/>
      </w:pPr>
      <w:r>
        <w:rPr/>
        <w:t>Enron’s gas LDCs have access to substantial untapped demand: CEG/CEG-Rio are located in large, densely populated regions which are currently underserved.  For example, of the over 2 million residences which are on or near the distribution network, only 565,500 residences are currently being serviced. In addition, studies have been conducted that show a significant potential market for new residential and commercial customers. The total population in CEG/CEG-Rio’s service territory is 14 million people, approximately equivalent to the population of Chile, in an area a fraction the size of Chile.  As a result, the connection of new customers to the network should be highly economic.</w:t>
      </w:r>
    </w:p>
    <w:p>
      <w:pPr>
        <w:pStyle w:val="Normal"/>
        <w:rPr/>
      </w:pPr>
      <w:r>
        <w:rPr/>
        <w:t>The Gaspart LDCs have concession areas with a total of approximately 42 million inhabitants and only 234, primarily industrial, customers at present. Enron currently estimates that over 200,000 residential and commercial customers could be economically connected to the Gaspart network and that volumes could increase from 4.0MMm</w:t>
      </w:r>
      <w:r>
        <w:rPr>
          <w:vertAlign w:val="superscript"/>
        </w:rPr>
        <w:t>3</w:t>
      </w:r>
      <w:r>
        <w:rPr/>
        <w:t>/day to 19.6MMm</w:t>
      </w:r>
      <w:r>
        <w:rPr>
          <w:vertAlign w:val="superscript"/>
        </w:rPr>
        <w:t>3</w:t>
      </w:r>
      <w:r>
        <w:rPr/>
        <w:t>/day in 2004.  In Paraná and Santa Catarina, there is also likely to be substantial heating load which will significantly enhance the economics of the build-out of the network.</w:t>
      </w:r>
    </w:p>
    <w:p>
      <w:pPr>
        <w:pStyle w:val="Heading4"/>
        <w:ind w:hanging="0" w:start="0"/>
        <w:rPr/>
      </w:pPr>
      <w:r>
        <w:rPr/>
        <w:t>Significant Optionality from Portfolio of Gas Purchase and Sale Contracts</w:t>
      </w:r>
    </w:p>
    <w:p>
      <w:pPr>
        <w:pStyle w:val="Normal"/>
        <w:rPr/>
      </w:pPr>
      <w:r>
        <w:rPr/>
        <w:t>Enron’s gas LDCs have a portfolio of gas purchase and sale contracts.  The purchase contracts are currently all with Petrobras but have varying terms and volume commitments. They also have interruptible sale contracts with many industrial customers.  This portfolio of contracts represents, on the one hand, a substantial and growing short position for gas, and on the other hand presents unique optionality and flexibility with regards to its marketing and trading strategy.</w:t>
      </w:r>
    </w:p>
    <w:p>
      <w:pPr>
        <w:pStyle w:val="Heading4"/>
        <w:ind w:hanging="0" w:start="0"/>
        <w:rPr/>
      </w:pPr>
      <w:r>
        <w:rPr/>
        <w:t>Unique Arbitrage Opportunities</w:t>
      </w:r>
    </w:p>
    <w:p>
      <w:pPr>
        <w:pStyle w:val="Normal"/>
        <w:rPr/>
      </w:pPr>
      <w:r>
        <w:rPr/>
        <w:t>Combined with its pipeline, electricity distribution and power generation assets, Enron has created a unique portfolio of gas LDC assets in Brazil which will allow the owner to arbitrage the different fuel needs of its customers, particularly as the electric and gas transportation businesses deregulate.</w:t>
      </w:r>
    </w:p>
    <w:p>
      <w:pPr>
        <w:pStyle w:val="Heading4"/>
        <w:ind w:hanging="0" w:start="0"/>
        <w:rPr/>
      </w:pPr>
      <w:r>
        <w:rPr/>
        <w:t>Substantial Market Presence</w:t>
      </w:r>
    </w:p>
    <w:p>
      <w:pPr>
        <w:pStyle w:val="Normal"/>
        <w:rPr/>
      </w:pPr>
      <w:r>
        <w:rPr/>
        <w:t>CEG/CEG-Rio coupled with the Gaspart LDCs make Enron the largest gas distributor in the country with almost 70% of the market.  Enron's distribution companies distribute 7.6MM m</w:t>
      </w:r>
      <w:r>
        <w:rPr>
          <w:vertAlign w:val="superscript"/>
        </w:rPr>
        <w:t>3</w:t>
      </w:r>
      <w:r>
        <w:rPr/>
        <w:t>/day out of the 11MM m</w:t>
      </w:r>
      <w:r>
        <w:rPr>
          <w:vertAlign w:val="superscript"/>
        </w:rPr>
        <w:t>3</w:t>
      </w:r>
      <w:r>
        <w:rPr/>
        <w:t>/day consumed in the whole of Brazil today.  Petrobras’ own estimates show gas demand growing at nearly 30% for the foreseeable future, reaching 70-75MM m</w:t>
      </w:r>
      <w:r>
        <w:rPr>
          <w:vertAlign w:val="superscript"/>
        </w:rPr>
        <w:t>3</w:t>
      </w:r>
      <w:r>
        <w:rPr/>
        <w:t>/day in 2005.</w:t>
      </w:r>
    </w:p>
    <w:p>
      <w:pPr>
        <w:pStyle w:val="Heading4"/>
        <w:ind w:hanging="0" w:start="0"/>
        <w:rPr/>
      </w:pPr>
      <w:r>
        <w:rPr/>
        <w:t>Beneficial Rate Setting Mechanism</w:t>
      </w:r>
    </w:p>
    <w:p>
      <w:pPr>
        <w:pStyle w:val="Normal"/>
        <w:rPr/>
      </w:pPr>
      <w:r>
        <w:rPr/>
        <w:t>The regulatory framework of each LDC provides for a capped tariff mechanism as opposed to a capped return mechanism, thus providing incentives to achieve operating efficiencies.  In addition, the mechanism provides for the immediate pass-through of gas purchase costs and tax changes (except federal income tax changes) on a monthly basis and inflation (IGPM) on an annual basis.</w:t>
      </w:r>
    </w:p>
    <w:p>
      <w:pPr>
        <w:pStyle w:val="Heading4"/>
        <w:ind w:hanging="0" w:start="0"/>
        <w:rPr/>
      </w:pPr>
      <w:r>
        <w:rPr/>
        <w:t>Ability to Conduct Affiliate Transactions</w:t>
      </w:r>
    </w:p>
    <w:p>
      <w:pPr>
        <w:pStyle w:val="Normal"/>
        <w:rPr/>
      </w:pPr>
      <w:r>
        <w:rPr/>
        <w:t>There are no restrictions on the sale of gas to the Enron LDC on an incremental basis to the extent that demand outstrips its current gas supply contract with Petrobras, and also when the contract ends.</w:t>
      </w:r>
    </w:p>
    <w:p>
      <w:pPr>
        <w:pStyle w:val="Heading4"/>
        <w:ind w:hanging="0" w:start="0"/>
        <w:rPr/>
      </w:pPr>
      <w:r>
        <w:rPr/>
        <w:t>Potential Route to Control</w:t>
      </w:r>
    </w:p>
    <w:p>
      <w:pPr>
        <w:pStyle w:val="Normal"/>
        <w:rPr/>
      </w:pPr>
      <w:r>
        <w:rPr/>
        <w:t>It is Enron’s belief that Gaspart enjoys preemptive rights in the event of the privatization of any individual company.  On this basis, the owner of Gaspart would have a clear route to control as and when the concessionaires are privatized.</w:t>
      </w:r>
    </w:p>
    <w:p>
      <w:pPr>
        <w:pStyle w:val="Heading4"/>
        <w:ind w:hanging="0" w:start="0"/>
        <w:rPr/>
      </w:pPr>
      <w:r>
        <w:rPr/>
        <w:t>Clear Management Responsibilities</w:t>
      </w:r>
    </w:p>
    <w:p>
      <w:pPr>
        <w:pStyle w:val="Normal"/>
        <w:rPr/>
      </w:pPr>
      <w:r>
        <w:rPr/>
        <w:t>The Shareholders Agreements between Gaspart, Petrobras and the State Government assign clear rights and responsibilities to each party with Gaspart nominees filling several key posts within each company.</w:t>
      </w:r>
    </w:p>
    <w:p>
      <w:pPr>
        <w:pStyle w:val="Heading4"/>
        <w:ind w:hanging="0" w:start="0"/>
        <w:rPr/>
      </w:pPr>
      <w:r>
        <w:rPr/>
        <w:t>Close Relationship with Petrobras</w:t>
      </w:r>
    </w:p>
    <w:p>
      <w:pPr>
        <w:pStyle w:val="Normal"/>
        <w:rPr/>
      </w:pPr>
      <w:r>
        <w:rPr/>
        <w:t>Gaspart enjoys a close relationship with Petrobras which is expected to be highly beneficial in expanding the customer base and gas supplies of</w:t>
        <w:br/>
        <w:t>the Gaspart LDCs.</w:t>
      </w:r>
    </w:p>
    <w:p>
      <w:pPr>
        <w:pStyle w:val="Normal"/>
        <w:rPr/>
      </w:pPr>
      <w:r>
        <w:rPr/>
      </w:r>
      <w:r>
        <w:br w:type="page"/>
      </w:r>
    </w:p>
    <w:p>
      <w:pPr>
        <w:pStyle w:val="Heading2"/>
        <w:ind w:hanging="0" w:start="0"/>
        <w:rPr/>
      </w:pPr>
      <w:r>
        <w:rPr/>
        <w:t>Companhia Estadual de Gas (CEG) and CEG-Rio - Brazil</w:t>
      </w:r>
    </w:p>
    <w:p>
      <w:pPr>
        <w:pStyle w:val="Heading3"/>
        <w:ind w:hanging="0" w:start="0"/>
        <w:rPr/>
      </w:pPr>
      <w:r>
        <w:rPr/>
        <w:t>Description of Assets</w:t>
      </w:r>
    </w:p>
    <w:p>
      <w:pPr>
        <w:pStyle w:val="Heading4"/>
        <w:ind w:hanging="0" w:start="0"/>
        <w:rPr/>
      </w:pPr>
      <w:r>
        <w:rPr/>
        <w:t>Overview</w:t>
      </w:r>
    </w:p>
    <w:p>
      <w:pPr>
        <w:pStyle w:val="BLKmed1st1"/>
        <w:rPr/>
      </w:pPr>
      <w:r>
        <w:rPr/>
        <w:t>CEG/CEG-Rio possess exclusive, effectively closed-access concession contracts to serve the entire gas market in the State of Rio de Janeiro which has a population of over 14 MM people. CEG/CEG-Rio serve approximately 565,500 residential, 10,000 commercial and 500 industrial customers in the State of Rio de Janeiro through a 2,200 km network.</w:t>
      </w:r>
    </w:p>
    <w:p>
      <w:pPr>
        <w:pStyle w:val="Heading4"/>
        <w:ind w:hanging="0" w:start="0"/>
        <w:rPr/>
      </w:pPr>
      <w:r>
        <w:rPr/>
        <w:t>Physical Network</w:t>
      </w:r>
    </w:p>
    <w:p>
      <w:pPr>
        <w:pStyle w:val="Heading5"/>
        <w:rPr/>
      </w:pPr>
      <w:r>
        <w:rPr/>
        <w:t>Pipes</w:t>
      </w:r>
    </w:p>
    <w:p>
      <w:pPr>
        <w:pStyle w:val="Normal"/>
        <w:rPr/>
      </w:pPr>
      <w:r>
        <w:rPr/>
        <w:t>Of CEG/CEG-Rio’s network, 1,100 km is steel with a maximum pressure of 10 Kgf/cm</w:t>
      </w:r>
      <w:r>
        <w:rPr>
          <w:vertAlign w:val="superscript"/>
        </w:rPr>
        <w:t>2</w:t>
      </w:r>
      <w:r>
        <w:rPr/>
        <w:t xml:space="preserve"> and is used to distribute natural gas, 1,000 km is cast iron with a pressure of 120 mmca which is used to distribute manufactured gas, and 100 km is made of polyethylene with a maximum pressure of 4 Kgf/cm</w:t>
      </w:r>
      <w:r>
        <w:rPr>
          <w:vertAlign w:val="superscript"/>
        </w:rPr>
        <w:t>2</w:t>
      </w:r>
      <w:r>
        <w:rPr/>
        <w:t xml:space="preserve"> which is also used to distribute natural gas.  The diameter varies between 2 inches and 20 inches for the natural gas pipelines.</w:t>
      </w:r>
    </w:p>
    <w:p>
      <w:pPr>
        <w:pStyle w:val="Normal"/>
        <w:rPr/>
      </w:pPr>
      <w:r>
        <w:rPr/>
        <w:t>The pipes for manufactured gas can be up to 140 years old.  However, only a small part of the network continues to be used for the distribution of manufactured gas as customers are converted from manufactured to natural gas.  The conversion from manufactured gas to natural gas will continue until 2004 and is expected to requirement an investment of R$67 MM.</w:t>
      </w:r>
    </w:p>
    <w:p>
      <w:pPr>
        <w:pStyle w:val="Normal"/>
        <w:rPr/>
      </w:pPr>
      <w:r>
        <w:rPr/>
        <w:t>CEG-Rio has 340 km of pipeline of which 334 km is transportation and 6 km is distribution pipeline.  The diameter varies from 2 inches to 36 inches.  The average age of the steel pipelines is between 15 and 20 years</w:t>
      </w:r>
    </w:p>
    <w:p>
      <w:pPr>
        <w:pStyle w:val="Heading5"/>
        <w:rPr/>
      </w:pPr>
      <w:r>
        <w:rPr/>
        <w:t>Compression</w:t>
      </w:r>
    </w:p>
    <w:p>
      <w:pPr>
        <w:pStyle w:val="BLKmed1st1"/>
        <w:keepNext w:val="true"/>
        <w:rPr/>
      </w:pPr>
      <w:r>
        <w:rPr/>
        <w:t>The number of regulator stations and meters are as follows:</w:t>
      </w:r>
    </w:p>
    <w:tbl>
      <w:tblPr>
        <w:tblW w:w="4253" w:type="dxa"/>
        <w:jc w:val="start"/>
        <w:tblInd w:w="108" w:type="dxa"/>
        <w:tblLayout w:type="fixed"/>
        <w:tblCellMar>
          <w:top w:w="0" w:type="dxa"/>
          <w:start w:w="108" w:type="dxa"/>
          <w:bottom w:w="0" w:type="dxa"/>
          <w:end w:w="108" w:type="dxa"/>
        </w:tblCellMar>
      </w:tblPr>
      <w:tblGrid>
        <w:gridCol w:w="2268"/>
        <w:gridCol w:w="992"/>
        <w:gridCol w:w="993"/>
      </w:tblGrid>
      <w:tr>
        <w:trPr/>
        <w:tc>
          <w:tcPr>
            <w:tcW w:w="2268" w:type="dxa"/>
            <w:tcBorders>
              <w:top w:val="single" w:sz="4" w:space="0" w:color="000000"/>
              <w:start w:val="single" w:sz="4" w:space="0" w:color="000000"/>
            </w:tcBorders>
            <w:shd w:fill="FFFF00" w:val="clear"/>
            <w:vAlign w:val="bottom"/>
          </w:tcPr>
          <w:p>
            <w:pPr>
              <w:pStyle w:val="TableHead"/>
              <w:pBdr>
                <w:bottom w:val="nil"/>
              </w:pBdr>
              <w:snapToGrid w:val="false"/>
              <w:jc w:val="start"/>
              <w:rPr>
                <w:sz w:val="18"/>
              </w:rPr>
            </w:pPr>
            <w:r>
              <w:rPr>
                <w:sz w:val="18"/>
              </w:rPr>
            </w:r>
          </w:p>
        </w:tc>
        <w:tc>
          <w:tcPr>
            <w:tcW w:w="1985" w:type="dxa"/>
            <w:gridSpan w:val="2"/>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Number</w:t>
            </w:r>
          </w:p>
        </w:tc>
      </w:tr>
      <w:tr>
        <w:trPr/>
        <w:tc>
          <w:tcPr>
            <w:tcW w:w="2268" w:type="dxa"/>
            <w:tcBorders>
              <w:start w:val="single" w:sz="4" w:space="0" w:color="000000"/>
              <w:bottom w:val="single" w:sz="4" w:space="0" w:color="000000"/>
            </w:tcBorders>
            <w:shd w:fill="FFFF00" w:val="clear"/>
            <w:vAlign w:val="bottom"/>
          </w:tcPr>
          <w:p>
            <w:pPr>
              <w:pStyle w:val="TableHead"/>
              <w:pBdr>
                <w:bottom w:val="nil"/>
              </w:pBdr>
              <w:jc w:val="start"/>
              <w:rPr>
                <w:sz w:val="18"/>
              </w:rPr>
            </w:pPr>
            <w:r>
              <w:rPr>
                <w:sz w:val="18"/>
              </w:rPr>
              <w:t>Regular Stations</w:t>
            </w:r>
          </w:p>
        </w:tc>
        <w:tc>
          <w:tcPr>
            <w:tcW w:w="992"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Manual</w:t>
            </w:r>
          </w:p>
        </w:tc>
        <w:tc>
          <w:tcPr>
            <w:tcW w:w="993"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Remote</w:t>
            </w:r>
          </w:p>
        </w:tc>
      </w:tr>
      <w:tr>
        <w:trPr/>
        <w:tc>
          <w:tcPr>
            <w:tcW w:w="2268" w:type="dxa"/>
            <w:tcBorders>
              <w:start w:val="single" w:sz="4" w:space="0" w:color="000000"/>
            </w:tcBorders>
          </w:tcPr>
          <w:p>
            <w:pPr>
              <w:pStyle w:val="TableHeadSpace"/>
              <w:snapToGrid w:val="false"/>
              <w:rPr>
                <w:sz w:val="18"/>
              </w:rPr>
            </w:pPr>
            <w:r>
              <w:rPr>
                <w:sz w:val="18"/>
              </w:rPr>
            </w:r>
          </w:p>
        </w:tc>
        <w:tc>
          <w:tcPr>
            <w:tcW w:w="992" w:type="dxa"/>
            <w:tcBorders/>
          </w:tcPr>
          <w:p>
            <w:pPr>
              <w:pStyle w:val="TableHeadSpace"/>
              <w:snapToGrid w:val="false"/>
              <w:rPr>
                <w:sz w:val="18"/>
              </w:rPr>
            </w:pPr>
            <w:r>
              <w:rPr>
                <w:sz w:val="18"/>
              </w:rPr>
            </w:r>
          </w:p>
        </w:tc>
        <w:tc>
          <w:tcPr>
            <w:tcW w:w="993" w:type="dxa"/>
            <w:tcBorders>
              <w:end w:val="single" w:sz="4" w:space="0" w:color="000000"/>
            </w:tcBorders>
          </w:tcPr>
          <w:p>
            <w:pPr>
              <w:pStyle w:val="TableHeadSpace"/>
              <w:snapToGrid w:val="false"/>
              <w:rPr>
                <w:sz w:val="18"/>
              </w:rPr>
            </w:pPr>
            <w:r>
              <w:rPr>
                <w:sz w:val="18"/>
              </w:rPr>
            </w:r>
          </w:p>
        </w:tc>
      </w:tr>
      <w:tr>
        <w:trPr/>
        <w:tc>
          <w:tcPr>
            <w:tcW w:w="2268" w:type="dxa"/>
            <w:tcBorders>
              <w:start w:val="single" w:sz="4" w:space="0" w:color="000000"/>
            </w:tcBorders>
          </w:tcPr>
          <w:p>
            <w:pPr>
              <w:pStyle w:val="TableBody"/>
              <w:keepNext w:val="true"/>
              <w:keepLines/>
              <w:rPr>
                <w:sz w:val="18"/>
              </w:rPr>
            </w:pPr>
            <w:r>
              <w:rPr>
                <w:sz w:val="18"/>
              </w:rPr>
              <w:t>Manufactured gas</w:t>
            </w:r>
          </w:p>
        </w:tc>
        <w:tc>
          <w:tcPr>
            <w:tcW w:w="992" w:type="dxa"/>
            <w:tcBorders/>
          </w:tcPr>
          <w:p>
            <w:pPr>
              <w:pStyle w:val="TableBody"/>
              <w:keepNext w:val="true"/>
              <w:keepLines/>
              <w:jc w:val="center"/>
              <w:rPr>
                <w:sz w:val="18"/>
              </w:rPr>
            </w:pPr>
            <w:r>
              <w:rPr>
                <w:sz w:val="18"/>
              </w:rPr>
              <w:t>45</w:t>
            </w:r>
          </w:p>
        </w:tc>
        <w:tc>
          <w:tcPr>
            <w:tcW w:w="993" w:type="dxa"/>
            <w:tcBorders>
              <w:end w:val="single" w:sz="4" w:space="0" w:color="000000"/>
            </w:tcBorders>
          </w:tcPr>
          <w:p>
            <w:pPr>
              <w:pStyle w:val="TableBody"/>
              <w:keepNext w:val="true"/>
              <w:keepLines/>
              <w:jc w:val="center"/>
              <w:rPr>
                <w:sz w:val="18"/>
              </w:rPr>
            </w:pPr>
            <w:r>
              <w:rPr>
                <w:sz w:val="18"/>
              </w:rPr>
              <w:t>19</w:t>
            </w:r>
          </w:p>
        </w:tc>
      </w:tr>
      <w:tr>
        <w:trPr/>
        <w:tc>
          <w:tcPr>
            <w:tcW w:w="2268" w:type="dxa"/>
            <w:tcBorders>
              <w:start w:val="single" w:sz="4" w:space="0" w:color="000000"/>
            </w:tcBorders>
          </w:tcPr>
          <w:p>
            <w:pPr>
              <w:pStyle w:val="TableBody"/>
              <w:keepNext w:val="true"/>
              <w:keepLines/>
              <w:rPr>
                <w:sz w:val="18"/>
              </w:rPr>
            </w:pPr>
            <w:r>
              <w:rPr>
                <w:sz w:val="18"/>
              </w:rPr>
              <w:t>Natural gas</w:t>
            </w:r>
          </w:p>
        </w:tc>
        <w:tc>
          <w:tcPr>
            <w:tcW w:w="992" w:type="dxa"/>
            <w:tcBorders/>
          </w:tcPr>
          <w:p>
            <w:pPr>
              <w:pStyle w:val="TableBody"/>
              <w:keepNext w:val="true"/>
              <w:keepLines/>
              <w:jc w:val="center"/>
              <w:rPr>
                <w:sz w:val="18"/>
              </w:rPr>
            </w:pPr>
            <w:r>
              <w:rPr>
                <w:sz w:val="18"/>
              </w:rPr>
              <w:t>20</w:t>
            </w:r>
          </w:p>
        </w:tc>
        <w:tc>
          <w:tcPr>
            <w:tcW w:w="993" w:type="dxa"/>
            <w:tcBorders>
              <w:end w:val="single" w:sz="4" w:space="0" w:color="000000"/>
            </w:tcBorders>
          </w:tcPr>
          <w:p>
            <w:pPr>
              <w:pStyle w:val="TableBody"/>
              <w:keepNext w:val="true"/>
              <w:keepLines/>
              <w:jc w:val="center"/>
              <w:rPr>
                <w:sz w:val="18"/>
              </w:rPr>
            </w:pPr>
            <w:r>
              <w:rPr>
                <w:sz w:val="18"/>
              </w:rPr>
              <w:t>8</w:t>
            </w:r>
          </w:p>
        </w:tc>
      </w:tr>
      <w:tr>
        <w:trPr/>
        <w:tc>
          <w:tcPr>
            <w:tcW w:w="2268" w:type="dxa"/>
            <w:tcBorders>
              <w:start w:val="single" w:sz="4" w:space="0" w:color="000000"/>
              <w:bottom w:val="single" w:sz="4" w:space="0" w:color="000000"/>
            </w:tcBorders>
          </w:tcPr>
          <w:p>
            <w:pPr>
              <w:pStyle w:val="TableHeadSpace"/>
              <w:snapToGrid w:val="false"/>
              <w:rPr>
                <w:sz w:val="18"/>
              </w:rPr>
            </w:pPr>
            <w:r>
              <w:rPr>
                <w:sz w:val="18"/>
              </w:rPr>
            </w:r>
          </w:p>
        </w:tc>
        <w:tc>
          <w:tcPr>
            <w:tcW w:w="992" w:type="dxa"/>
            <w:tcBorders>
              <w:bottom w:val="single" w:sz="4" w:space="0" w:color="000000"/>
            </w:tcBorders>
          </w:tcPr>
          <w:p>
            <w:pPr>
              <w:pStyle w:val="TableHeadSpace"/>
              <w:snapToGrid w:val="false"/>
              <w:rPr>
                <w:sz w:val="18"/>
              </w:rPr>
            </w:pPr>
            <w:r>
              <w:rPr>
                <w:sz w:val="18"/>
              </w:rPr>
            </w:r>
          </w:p>
        </w:tc>
        <w:tc>
          <w:tcPr>
            <w:tcW w:w="993" w:type="dxa"/>
            <w:tcBorders>
              <w:bottom w:val="single" w:sz="4" w:space="0" w:color="000000"/>
              <w:end w:val="single" w:sz="4" w:space="0" w:color="000000"/>
            </w:tcBorders>
          </w:tcPr>
          <w:p>
            <w:pPr>
              <w:pStyle w:val="TableHeadSpace"/>
              <w:snapToGrid w:val="false"/>
              <w:rPr>
                <w:sz w:val="18"/>
              </w:rPr>
            </w:pPr>
            <w:r>
              <w:rPr>
                <w:sz w:val="18"/>
              </w:rPr>
            </w:r>
          </w:p>
        </w:tc>
      </w:tr>
    </w:tbl>
    <w:p>
      <w:pPr>
        <w:pStyle w:val="Normal"/>
        <w:rPr/>
      </w:pPr>
      <w:r>
        <w:rPr/>
      </w:r>
    </w:p>
    <w:tbl>
      <w:tblPr>
        <w:tblW w:w="4253" w:type="dxa"/>
        <w:jc w:val="start"/>
        <w:tblInd w:w="108" w:type="dxa"/>
        <w:tblLayout w:type="fixed"/>
        <w:tblCellMar>
          <w:top w:w="0" w:type="dxa"/>
          <w:start w:w="108" w:type="dxa"/>
          <w:bottom w:w="0" w:type="dxa"/>
          <w:end w:w="108" w:type="dxa"/>
        </w:tblCellMar>
      </w:tblPr>
      <w:tblGrid>
        <w:gridCol w:w="2410"/>
        <w:gridCol w:w="1843"/>
      </w:tblGrid>
      <w:tr>
        <w:trPr/>
        <w:tc>
          <w:tcPr>
            <w:tcW w:w="2410"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start"/>
              <w:rPr>
                <w:sz w:val="18"/>
              </w:rPr>
            </w:pPr>
            <w:r>
              <w:rPr>
                <w:sz w:val="18"/>
              </w:rPr>
              <w:t>Meters</w:t>
            </w:r>
          </w:p>
        </w:tc>
        <w:tc>
          <w:tcPr>
            <w:tcW w:w="1843"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Number</w:t>
            </w:r>
          </w:p>
        </w:tc>
      </w:tr>
      <w:tr>
        <w:trPr/>
        <w:tc>
          <w:tcPr>
            <w:tcW w:w="2410" w:type="dxa"/>
            <w:tcBorders>
              <w:start w:val="single" w:sz="4" w:space="0" w:color="000000"/>
            </w:tcBorders>
          </w:tcPr>
          <w:p>
            <w:pPr>
              <w:pStyle w:val="TableHeadSpace"/>
              <w:snapToGrid w:val="false"/>
              <w:rPr>
                <w:sz w:val="18"/>
              </w:rPr>
            </w:pPr>
            <w:r>
              <w:rPr>
                <w:sz w:val="18"/>
              </w:rPr>
            </w:r>
          </w:p>
        </w:tc>
        <w:tc>
          <w:tcPr>
            <w:tcW w:w="1843" w:type="dxa"/>
            <w:tcBorders>
              <w:end w:val="single" w:sz="4" w:space="0" w:color="000000"/>
            </w:tcBorders>
          </w:tcPr>
          <w:p>
            <w:pPr>
              <w:pStyle w:val="TableHeadSpace"/>
              <w:snapToGrid w:val="false"/>
              <w:rPr>
                <w:sz w:val="18"/>
              </w:rPr>
            </w:pPr>
            <w:r>
              <w:rPr>
                <w:sz w:val="18"/>
              </w:rPr>
            </w:r>
          </w:p>
        </w:tc>
      </w:tr>
      <w:tr>
        <w:trPr/>
        <w:tc>
          <w:tcPr>
            <w:tcW w:w="2410" w:type="dxa"/>
            <w:tcBorders>
              <w:start w:val="single" w:sz="4" w:space="0" w:color="000000"/>
            </w:tcBorders>
          </w:tcPr>
          <w:p>
            <w:pPr>
              <w:pStyle w:val="TableBody"/>
              <w:keepNext w:val="true"/>
              <w:keepLines/>
              <w:rPr>
                <w:sz w:val="18"/>
              </w:rPr>
            </w:pPr>
            <w:r>
              <w:rPr>
                <w:sz w:val="18"/>
              </w:rPr>
              <w:t>Industrial</w:t>
            </w:r>
          </w:p>
        </w:tc>
        <w:tc>
          <w:tcPr>
            <w:tcW w:w="1843" w:type="dxa"/>
            <w:tcBorders>
              <w:end w:val="single" w:sz="4" w:space="0" w:color="000000"/>
            </w:tcBorders>
          </w:tcPr>
          <w:p>
            <w:pPr>
              <w:pStyle w:val="TableBody"/>
              <w:keepNext w:val="true"/>
              <w:keepLines/>
              <w:ind w:end="234"/>
              <w:jc w:val="end"/>
              <w:rPr>
                <w:sz w:val="18"/>
              </w:rPr>
            </w:pPr>
            <w:r>
              <w:rPr>
                <w:sz w:val="18"/>
              </w:rPr>
              <w:t>800</w:t>
            </w:r>
          </w:p>
        </w:tc>
      </w:tr>
      <w:tr>
        <w:trPr/>
        <w:tc>
          <w:tcPr>
            <w:tcW w:w="2410" w:type="dxa"/>
            <w:tcBorders>
              <w:start w:val="single" w:sz="4" w:space="0" w:color="000000"/>
            </w:tcBorders>
          </w:tcPr>
          <w:p>
            <w:pPr>
              <w:pStyle w:val="TableBody"/>
              <w:keepNext w:val="true"/>
              <w:keepLines/>
              <w:rPr>
                <w:sz w:val="18"/>
              </w:rPr>
            </w:pPr>
            <w:r>
              <w:rPr>
                <w:sz w:val="18"/>
              </w:rPr>
              <w:t>Commercial</w:t>
            </w:r>
          </w:p>
        </w:tc>
        <w:tc>
          <w:tcPr>
            <w:tcW w:w="1843" w:type="dxa"/>
            <w:tcBorders>
              <w:end w:val="single" w:sz="4" w:space="0" w:color="000000"/>
            </w:tcBorders>
          </w:tcPr>
          <w:p>
            <w:pPr>
              <w:pStyle w:val="TableBody"/>
              <w:keepNext w:val="true"/>
              <w:keepLines/>
              <w:ind w:end="234"/>
              <w:jc w:val="end"/>
              <w:rPr>
                <w:sz w:val="18"/>
              </w:rPr>
            </w:pPr>
            <w:r>
              <w:rPr>
                <w:sz w:val="18"/>
              </w:rPr>
              <w:t>10,000</w:t>
            </w:r>
          </w:p>
        </w:tc>
      </w:tr>
      <w:tr>
        <w:trPr/>
        <w:tc>
          <w:tcPr>
            <w:tcW w:w="2410" w:type="dxa"/>
            <w:tcBorders>
              <w:start w:val="single" w:sz="4" w:space="0" w:color="000000"/>
            </w:tcBorders>
          </w:tcPr>
          <w:p>
            <w:pPr>
              <w:pStyle w:val="TableBody"/>
              <w:keepNext w:val="true"/>
              <w:keepLines/>
              <w:rPr>
                <w:sz w:val="18"/>
              </w:rPr>
            </w:pPr>
            <w:r>
              <w:rPr>
                <w:sz w:val="18"/>
              </w:rPr>
              <w:t>Residential</w:t>
            </w:r>
          </w:p>
        </w:tc>
        <w:tc>
          <w:tcPr>
            <w:tcW w:w="1843" w:type="dxa"/>
            <w:tcBorders>
              <w:end w:val="single" w:sz="4" w:space="0" w:color="000000"/>
            </w:tcBorders>
          </w:tcPr>
          <w:p>
            <w:pPr>
              <w:pStyle w:val="TableBody"/>
              <w:keepNext w:val="true"/>
              <w:keepLines/>
              <w:ind w:end="234"/>
              <w:jc w:val="end"/>
              <w:rPr>
                <w:sz w:val="18"/>
              </w:rPr>
            </w:pPr>
            <w:r>
              <w:rPr>
                <w:sz w:val="18"/>
              </w:rPr>
              <w:t>567,000</w:t>
            </w:r>
          </w:p>
        </w:tc>
      </w:tr>
      <w:tr>
        <w:trPr/>
        <w:tc>
          <w:tcPr>
            <w:tcW w:w="2410" w:type="dxa"/>
            <w:tcBorders>
              <w:start w:val="single" w:sz="4" w:space="0" w:color="000000"/>
            </w:tcBorders>
          </w:tcPr>
          <w:p>
            <w:pPr>
              <w:pStyle w:val="TableBody"/>
              <w:keepNext w:val="true"/>
              <w:keepLines/>
              <w:rPr>
                <w:sz w:val="18"/>
              </w:rPr>
            </w:pPr>
            <w:r>
              <w:rPr>
                <w:sz w:val="18"/>
              </w:rPr>
              <w:t>Automotive</w:t>
            </w:r>
          </w:p>
        </w:tc>
        <w:tc>
          <w:tcPr>
            <w:tcW w:w="1843" w:type="dxa"/>
            <w:tcBorders>
              <w:end w:val="single" w:sz="4" w:space="0" w:color="000000"/>
            </w:tcBorders>
          </w:tcPr>
          <w:p>
            <w:pPr>
              <w:pStyle w:val="TableBody"/>
              <w:keepNext w:val="true"/>
              <w:keepLines/>
              <w:ind w:end="234"/>
              <w:jc w:val="end"/>
              <w:rPr>
                <w:sz w:val="18"/>
              </w:rPr>
            </w:pPr>
            <w:r>
              <w:rPr>
                <w:sz w:val="18"/>
              </w:rPr>
              <w:t>35</w:t>
            </w:r>
          </w:p>
        </w:tc>
      </w:tr>
      <w:tr>
        <w:trPr/>
        <w:tc>
          <w:tcPr>
            <w:tcW w:w="2410" w:type="dxa"/>
            <w:tcBorders>
              <w:start w:val="single" w:sz="4" w:space="0" w:color="000000"/>
              <w:bottom w:val="single" w:sz="4" w:space="0" w:color="000000"/>
            </w:tcBorders>
          </w:tcPr>
          <w:p>
            <w:pPr>
              <w:pStyle w:val="TableHeadSpace"/>
              <w:snapToGrid w:val="false"/>
              <w:rPr>
                <w:sz w:val="18"/>
              </w:rPr>
            </w:pPr>
            <w:r>
              <w:rPr>
                <w:sz w:val="18"/>
              </w:rPr>
            </w:r>
          </w:p>
        </w:tc>
        <w:tc>
          <w:tcPr>
            <w:tcW w:w="1843" w:type="dxa"/>
            <w:tcBorders>
              <w:bottom w:val="single" w:sz="4" w:space="0" w:color="000000"/>
              <w:end w:val="single" w:sz="4" w:space="0" w:color="000000"/>
            </w:tcBorders>
          </w:tcPr>
          <w:p>
            <w:pPr>
              <w:pStyle w:val="TableHeadSpace"/>
              <w:snapToGrid w:val="false"/>
              <w:rPr>
                <w:sz w:val="18"/>
              </w:rPr>
            </w:pPr>
            <w:r>
              <w:rPr>
                <w:sz w:val="18"/>
              </w:rPr>
            </w:r>
          </w:p>
        </w:tc>
      </w:tr>
    </w:tbl>
    <w:p>
      <w:pPr>
        <w:pStyle w:val="Normal"/>
        <w:rPr/>
      </w:pPr>
      <w:r>
        <w:rPr/>
      </w:r>
    </w:p>
    <w:p>
      <w:pPr>
        <w:pStyle w:val="BLKmed1st1"/>
        <w:rPr/>
      </w:pPr>
      <w:r>
        <w:rPr/>
        <w:t>CEG-Rio has no regulator stations, but has 21 meters, one for each client.</w:t>
      </w:r>
    </w:p>
    <w:p>
      <w:pPr>
        <w:pStyle w:val="Heading5"/>
        <w:rPr/>
      </w:pPr>
      <w:r>
        <w:rPr/>
        <w:t>Capacity</w:t>
      </w:r>
    </w:p>
    <w:p>
      <w:pPr>
        <w:pStyle w:val="Normal"/>
        <w:rPr/>
      </w:pPr>
      <w:r>
        <w:rPr/>
        <w:t>The peak delivered gas in 1999 for CEG and CEG-Rio was 72.9 MMm</w:t>
      </w:r>
      <w:r>
        <w:rPr>
          <w:vertAlign w:val="superscript"/>
        </w:rPr>
        <w:t>3</w:t>
      </w:r>
      <w:r>
        <w:rPr/>
        <w:t>/month and 48 MMm</w:t>
      </w:r>
      <w:r>
        <w:rPr>
          <w:vertAlign w:val="superscript"/>
        </w:rPr>
        <w:t>3</w:t>
      </w:r>
      <w:r>
        <w:rPr/>
        <w:t>/month, respectively.  The average for CEG and CEG-Rio was 68.2 MMm</w:t>
      </w:r>
      <w:r>
        <w:rPr>
          <w:vertAlign w:val="superscript"/>
        </w:rPr>
        <w:t>3</w:t>
      </w:r>
      <w:r>
        <w:rPr/>
        <w:t>/month and 40.0 MMm</w:t>
      </w:r>
      <w:r>
        <w:rPr>
          <w:vertAlign w:val="superscript"/>
        </w:rPr>
        <w:t>3</w:t>
      </w:r>
      <w:r>
        <w:rPr/>
        <w:t>/month, respectively.</w:t>
      </w:r>
    </w:p>
    <w:p>
      <w:pPr>
        <w:pStyle w:val="Heading5"/>
        <w:rPr/>
      </w:pPr>
      <w:r>
        <w:rPr/>
        <w:t>Expansion</w:t>
      </w:r>
    </w:p>
    <w:p>
      <w:pPr>
        <w:pStyle w:val="BLKmed1st1"/>
        <w:rPr/>
      </w:pPr>
      <w:r>
        <w:rPr/>
        <w:t>CEG has three major expansion projects to hook up new industrial customers that it is currently working on: [STATUS].</w:t>
      </w:r>
    </w:p>
    <w:tbl>
      <w:tblPr>
        <w:tblW w:w="5370" w:type="dxa"/>
        <w:jc w:val="start"/>
        <w:tblInd w:w="108" w:type="dxa"/>
        <w:tblLayout w:type="fixed"/>
        <w:tblCellMar>
          <w:top w:w="0" w:type="dxa"/>
          <w:start w:w="108" w:type="dxa"/>
          <w:bottom w:w="0" w:type="dxa"/>
          <w:end w:w="108" w:type="dxa"/>
        </w:tblCellMar>
      </w:tblPr>
      <w:tblGrid>
        <w:gridCol w:w="2970"/>
        <w:gridCol w:w="1200"/>
        <w:gridCol w:w="1200"/>
      </w:tblGrid>
      <w:tr>
        <w:trPr/>
        <w:tc>
          <w:tcPr>
            <w:tcW w:w="2970"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start"/>
              <w:rPr>
                <w:sz w:val="18"/>
              </w:rPr>
            </w:pPr>
            <w:r>
              <w:rPr>
                <w:sz w:val="18"/>
              </w:rPr>
              <w:t>Name</w:t>
            </w:r>
          </w:p>
        </w:tc>
        <w:tc>
          <w:tcPr>
            <w:tcW w:w="1200"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Industrial Customers</w:t>
            </w:r>
          </w:p>
        </w:tc>
        <w:tc>
          <w:tcPr>
            <w:tcW w:w="1200"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Pipeline</w:t>
              <w:br/>
              <w:t>(in km)</w:t>
            </w:r>
          </w:p>
        </w:tc>
      </w:tr>
      <w:tr>
        <w:trPr/>
        <w:tc>
          <w:tcPr>
            <w:tcW w:w="2970" w:type="dxa"/>
            <w:tcBorders>
              <w:start w:val="single" w:sz="4" w:space="0" w:color="000000"/>
            </w:tcBorders>
          </w:tcPr>
          <w:p>
            <w:pPr>
              <w:pStyle w:val="TableHeadSpace"/>
              <w:snapToGrid w:val="false"/>
              <w:rPr>
                <w:sz w:val="18"/>
              </w:rPr>
            </w:pPr>
            <w:r>
              <w:rPr>
                <w:sz w:val="18"/>
              </w:rPr>
            </w:r>
          </w:p>
        </w:tc>
        <w:tc>
          <w:tcPr>
            <w:tcW w:w="1200" w:type="dxa"/>
            <w:tcBorders/>
          </w:tcPr>
          <w:p>
            <w:pPr>
              <w:pStyle w:val="TableHeadSpace"/>
              <w:snapToGrid w:val="false"/>
              <w:rPr>
                <w:sz w:val="18"/>
              </w:rPr>
            </w:pPr>
            <w:r>
              <w:rPr>
                <w:sz w:val="18"/>
              </w:rPr>
            </w:r>
          </w:p>
        </w:tc>
        <w:tc>
          <w:tcPr>
            <w:tcW w:w="1200" w:type="dxa"/>
            <w:tcBorders>
              <w:end w:val="single" w:sz="4" w:space="0" w:color="000000"/>
            </w:tcBorders>
          </w:tcPr>
          <w:p>
            <w:pPr>
              <w:pStyle w:val="TableHeadSpace"/>
              <w:snapToGrid w:val="false"/>
              <w:rPr>
                <w:sz w:val="18"/>
              </w:rPr>
            </w:pPr>
            <w:r>
              <w:rPr>
                <w:sz w:val="18"/>
              </w:rPr>
            </w:r>
          </w:p>
        </w:tc>
      </w:tr>
      <w:tr>
        <w:trPr/>
        <w:tc>
          <w:tcPr>
            <w:tcW w:w="2970" w:type="dxa"/>
            <w:tcBorders>
              <w:start w:val="single" w:sz="4" w:space="0" w:color="000000"/>
            </w:tcBorders>
          </w:tcPr>
          <w:p>
            <w:pPr>
              <w:pStyle w:val="TableBody"/>
              <w:keepNext w:val="true"/>
              <w:keepLines/>
              <w:rPr>
                <w:sz w:val="18"/>
              </w:rPr>
            </w:pPr>
            <w:r>
              <w:rPr>
                <w:sz w:val="18"/>
              </w:rPr>
              <w:t>Project Tres Rios</w:t>
            </w:r>
          </w:p>
        </w:tc>
        <w:tc>
          <w:tcPr>
            <w:tcW w:w="1200" w:type="dxa"/>
            <w:tcBorders/>
          </w:tcPr>
          <w:p>
            <w:pPr>
              <w:pStyle w:val="TableBody"/>
              <w:keepNext w:val="true"/>
              <w:keepLines/>
              <w:jc w:val="center"/>
              <w:rPr>
                <w:sz w:val="18"/>
              </w:rPr>
            </w:pPr>
            <w:r>
              <w:rPr>
                <w:sz w:val="18"/>
              </w:rPr>
              <w:t>20</w:t>
            </w:r>
          </w:p>
        </w:tc>
        <w:tc>
          <w:tcPr>
            <w:tcW w:w="1200" w:type="dxa"/>
            <w:tcBorders>
              <w:end w:val="single" w:sz="4" w:space="0" w:color="000000"/>
            </w:tcBorders>
          </w:tcPr>
          <w:p>
            <w:pPr>
              <w:pStyle w:val="TableBody"/>
              <w:keepNext w:val="true"/>
              <w:keepLines/>
              <w:jc w:val="center"/>
              <w:rPr>
                <w:sz w:val="18"/>
              </w:rPr>
            </w:pPr>
            <w:r>
              <w:rPr>
                <w:sz w:val="18"/>
              </w:rPr>
              <w:t>34.0</w:t>
            </w:r>
          </w:p>
        </w:tc>
      </w:tr>
      <w:tr>
        <w:trPr/>
        <w:tc>
          <w:tcPr>
            <w:tcW w:w="2970" w:type="dxa"/>
            <w:tcBorders>
              <w:start w:val="single" w:sz="4" w:space="0" w:color="000000"/>
            </w:tcBorders>
          </w:tcPr>
          <w:p>
            <w:pPr>
              <w:pStyle w:val="TableBody"/>
              <w:keepNext w:val="true"/>
              <w:keepLines/>
              <w:rPr>
                <w:sz w:val="18"/>
              </w:rPr>
            </w:pPr>
            <w:r>
              <w:rPr>
                <w:sz w:val="18"/>
              </w:rPr>
              <w:t>Project Hiteroi</w:t>
            </w:r>
          </w:p>
        </w:tc>
        <w:tc>
          <w:tcPr>
            <w:tcW w:w="1200" w:type="dxa"/>
            <w:tcBorders/>
          </w:tcPr>
          <w:p>
            <w:pPr>
              <w:pStyle w:val="TableBody"/>
              <w:keepNext w:val="true"/>
              <w:keepLines/>
              <w:jc w:val="center"/>
              <w:rPr>
                <w:sz w:val="18"/>
              </w:rPr>
            </w:pPr>
            <w:r>
              <w:rPr>
                <w:sz w:val="18"/>
              </w:rPr>
              <w:t>26</w:t>
            </w:r>
          </w:p>
        </w:tc>
        <w:tc>
          <w:tcPr>
            <w:tcW w:w="1200" w:type="dxa"/>
            <w:tcBorders>
              <w:end w:val="single" w:sz="4" w:space="0" w:color="000000"/>
            </w:tcBorders>
          </w:tcPr>
          <w:p>
            <w:pPr>
              <w:pStyle w:val="TableBody"/>
              <w:keepNext w:val="true"/>
              <w:keepLines/>
              <w:jc w:val="center"/>
              <w:rPr>
                <w:sz w:val="18"/>
              </w:rPr>
            </w:pPr>
            <w:r>
              <w:rPr>
                <w:sz w:val="18"/>
              </w:rPr>
              <w:t>72.1</w:t>
            </w:r>
          </w:p>
        </w:tc>
      </w:tr>
      <w:tr>
        <w:trPr/>
        <w:tc>
          <w:tcPr>
            <w:tcW w:w="2970" w:type="dxa"/>
            <w:tcBorders>
              <w:start w:val="single" w:sz="4" w:space="0" w:color="000000"/>
            </w:tcBorders>
          </w:tcPr>
          <w:p>
            <w:pPr>
              <w:pStyle w:val="TableBody"/>
              <w:keepNext w:val="true"/>
              <w:keepLines/>
              <w:rPr>
                <w:sz w:val="18"/>
              </w:rPr>
            </w:pPr>
            <w:r>
              <w:rPr>
                <w:sz w:val="18"/>
              </w:rPr>
              <w:t>Project Itaborai</w:t>
            </w:r>
          </w:p>
        </w:tc>
        <w:tc>
          <w:tcPr>
            <w:tcW w:w="1200" w:type="dxa"/>
            <w:tcBorders/>
          </w:tcPr>
          <w:p>
            <w:pPr>
              <w:pStyle w:val="TableBody"/>
              <w:keepNext w:val="true"/>
              <w:keepLines/>
              <w:jc w:val="center"/>
              <w:rPr>
                <w:sz w:val="18"/>
              </w:rPr>
            </w:pPr>
            <w:r>
              <w:rPr>
                <w:sz w:val="18"/>
              </w:rPr>
              <w:t>44</w:t>
            </w:r>
          </w:p>
        </w:tc>
        <w:tc>
          <w:tcPr>
            <w:tcW w:w="1200" w:type="dxa"/>
            <w:tcBorders>
              <w:end w:val="single" w:sz="4" w:space="0" w:color="000000"/>
            </w:tcBorders>
          </w:tcPr>
          <w:p>
            <w:pPr>
              <w:pStyle w:val="TableBody"/>
              <w:keepNext w:val="true"/>
              <w:keepLines/>
              <w:jc w:val="center"/>
              <w:rPr>
                <w:sz w:val="18"/>
              </w:rPr>
            </w:pPr>
            <w:r>
              <w:rPr>
                <w:sz w:val="18"/>
              </w:rPr>
              <w:t>38.8</w:t>
            </w:r>
          </w:p>
        </w:tc>
      </w:tr>
      <w:tr>
        <w:trPr/>
        <w:tc>
          <w:tcPr>
            <w:tcW w:w="2970" w:type="dxa"/>
            <w:tcBorders>
              <w:start w:val="single" w:sz="4" w:space="0" w:color="000000"/>
              <w:bottom w:val="single" w:sz="4" w:space="0" w:color="000000"/>
            </w:tcBorders>
          </w:tcPr>
          <w:p>
            <w:pPr>
              <w:pStyle w:val="TableHeadSpace"/>
              <w:snapToGrid w:val="false"/>
              <w:rPr>
                <w:sz w:val="18"/>
              </w:rPr>
            </w:pPr>
            <w:r>
              <w:rPr>
                <w:sz w:val="18"/>
              </w:rPr>
            </w:r>
          </w:p>
        </w:tc>
        <w:tc>
          <w:tcPr>
            <w:tcW w:w="1200" w:type="dxa"/>
            <w:tcBorders>
              <w:bottom w:val="single" w:sz="4" w:space="0" w:color="000000"/>
            </w:tcBorders>
          </w:tcPr>
          <w:p>
            <w:pPr>
              <w:pStyle w:val="TableHeadSpace"/>
              <w:snapToGrid w:val="false"/>
              <w:rPr>
                <w:sz w:val="18"/>
              </w:rPr>
            </w:pPr>
            <w:r>
              <w:rPr>
                <w:sz w:val="18"/>
              </w:rPr>
            </w:r>
          </w:p>
        </w:tc>
        <w:tc>
          <w:tcPr>
            <w:tcW w:w="1200" w:type="dxa"/>
            <w:tcBorders>
              <w:bottom w:val="single" w:sz="4" w:space="0" w:color="000000"/>
              <w:end w:val="single" w:sz="4" w:space="0" w:color="000000"/>
            </w:tcBorders>
          </w:tcPr>
          <w:p>
            <w:pPr>
              <w:pStyle w:val="TableHeadSpace"/>
              <w:snapToGrid w:val="false"/>
              <w:rPr>
                <w:sz w:val="18"/>
              </w:rPr>
            </w:pPr>
            <w:r>
              <w:rPr>
                <w:sz w:val="18"/>
              </w:rPr>
            </w:r>
          </w:p>
        </w:tc>
      </w:tr>
    </w:tbl>
    <w:p>
      <w:pPr>
        <w:pStyle w:val="BLKmed1st1"/>
        <w:rPr/>
      </w:pPr>
      <w:r>
        <w:rPr/>
      </w:r>
    </w:p>
    <w:p>
      <w:pPr>
        <w:pStyle w:val="BLKmed1st1"/>
        <w:rPr/>
      </w:pPr>
      <w:r>
        <w:rPr/>
        <w:t>CEG-Rio is also actively pursuing the connection of new industrial customers in four main projects: [STATUS]</w:t>
      </w:r>
    </w:p>
    <w:tbl>
      <w:tblPr>
        <w:tblW w:w="5370" w:type="dxa"/>
        <w:jc w:val="start"/>
        <w:tblInd w:w="108" w:type="dxa"/>
        <w:tblLayout w:type="fixed"/>
        <w:tblCellMar>
          <w:top w:w="0" w:type="dxa"/>
          <w:start w:w="108" w:type="dxa"/>
          <w:bottom w:w="0" w:type="dxa"/>
          <w:end w:w="108" w:type="dxa"/>
        </w:tblCellMar>
      </w:tblPr>
      <w:tblGrid>
        <w:gridCol w:w="2970"/>
        <w:gridCol w:w="1200"/>
        <w:gridCol w:w="1200"/>
      </w:tblGrid>
      <w:tr>
        <w:trPr/>
        <w:tc>
          <w:tcPr>
            <w:tcW w:w="2970"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start"/>
              <w:rPr>
                <w:sz w:val="18"/>
              </w:rPr>
            </w:pPr>
            <w:r>
              <w:rPr>
                <w:sz w:val="18"/>
              </w:rPr>
              <w:t>Name</w:t>
            </w:r>
          </w:p>
        </w:tc>
        <w:tc>
          <w:tcPr>
            <w:tcW w:w="1200"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Industrial</w:t>
            </w:r>
          </w:p>
          <w:p>
            <w:pPr>
              <w:pStyle w:val="TableHead"/>
              <w:pBdr>
                <w:bottom w:val="nil"/>
              </w:pBdr>
              <w:rPr>
                <w:sz w:val="18"/>
              </w:rPr>
            </w:pPr>
            <w:r>
              <w:rPr>
                <w:sz w:val="18"/>
              </w:rPr>
              <w:t>Customers</w:t>
            </w:r>
          </w:p>
        </w:tc>
        <w:tc>
          <w:tcPr>
            <w:tcW w:w="1200"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Pipeline</w:t>
              <w:br/>
              <w:t>(in km)</w:t>
            </w:r>
          </w:p>
        </w:tc>
      </w:tr>
      <w:tr>
        <w:trPr/>
        <w:tc>
          <w:tcPr>
            <w:tcW w:w="2970" w:type="dxa"/>
            <w:tcBorders>
              <w:start w:val="single" w:sz="4" w:space="0" w:color="000000"/>
            </w:tcBorders>
          </w:tcPr>
          <w:p>
            <w:pPr>
              <w:pStyle w:val="TableHeadSpace"/>
              <w:snapToGrid w:val="false"/>
              <w:rPr>
                <w:sz w:val="18"/>
              </w:rPr>
            </w:pPr>
            <w:r>
              <w:rPr>
                <w:sz w:val="18"/>
              </w:rPr>
            </w:r>
          </w:p>
        </w:tc>
        <w:tc>
          <w:tcPr>
            <w:tcW w:w="1200" w:type="dxa"/>
            <w:tcBorders/>
          </w:tcPr>
          <w:p>
            <w:pPr>
              <w:pStyle w:val="TableHeadSpace"/>
              <w:tabs>
                <w:tab w:val="clear" w:pos="720"/>
                <w:tab w:val="left" w:pos="608" w:leader="none"/>
              </w:tabs>
              <w:snapToGrid w:val="false"/>
              <w:ind w:start="-384" w:end="376"/>
              <w:jc w:val="end"/>
              <w:rPr>
                <w:sz w:val="18"/>
              </w:rPr>
            </w:pPr>
            <w:r>
              <w:rPr>
                <w:sz w:val="18"/>
              </w:rPr>
            </w:r>
          </w:p>
        </w:tc>
        <w:tc>
          <w:tcPr>
            <w:tcW w:w="1200" w:type="dxa"/>
            <w:tcBorders>
              <w:end w:val="single" w:sz="4" w:space="0" w:color="000000"/>
            </w:tcBorders>
          </w:tcPr>
          <w:p>
            <w:pPr>
              <w:pStyle w:val="TableHeadSpace"/>
              <w:snapToGrid w:val="false"/>
              <w:ind w:start="-309" w:end="300"/>
              <w:rPr>
                <w:sz w:val="18"/>
              </w:rPr>
            </w:pPr>
            <w:r>
              <w:rPr>
                <w:sz w:val="18"/>
              </w:rPr>
            </w:r>
          </w:p>
        </w:tc>
      </w:tr>
      <w:tr>
        <w:trPr/>
        <w:tc>
          <w:tcPr>
            <w:tcW w:w="2970" w:type="dxa"/>
            <w:tcBorders>
              <w:start w:val="single" w:sz="4" w:space="0" w:color="000000"/>
            </w:tcBorders>
          </w:tcPr>
          <w:p>
            <w:pPr>
              <w:pStyle w:val="TableBody"/>
              <w:keepNext w:val="true"/>
              <w:keepLines/>
              <w:rPr>
                <w:sz w:val="18"/>
              </w:rPr>
            </w:pPr>
            <w:r>
              <w:rPr>
                <w:sz w:val="18"/>
              </w:rPr>
              <w:t>Barra Mansa</w:t>
            </w:r>
          </w:p>
        </w:tc>
        <w:tc>
          <w:tcPr>
            <w:tcW w:w="1200" w:type="dxa"/>
            <w:tcBorders/>
          </w:tcPr>
          <w:p>
            <w:pPr>
              <w:pStyle w:val="TableBody"/>
              <w:keepNext w:val="true"/>
              <w:keepLines/>
              <w:tabs>
                <w:tab w:val="clear" w:pos="720"/>
                <w:tab w:val="left" w:pos="608" w:leader="none"/>
              </w:tabs>
              <w:ind w:start="-384" w:end="376"/>
              <w:jc w:val="end"/>
              <w:rPr>
                <w:sz w:val="18"/>
              </w:rPr>
            </w:pPr>
            <w:r>
              <w:rPr>
                <w:sz w:val="18"/>
              </w:rPr>
              <w:t>7</w:t>
            </w:r>
          </w:p>
        </w:tc>
        <w:tc>
          <w:tcPr>
            <w:tcW w:w="1200" w:type="dxa"/>
            <w:tcBorders>
              <w:end w:val="single" w:sz="4" w:space="0" w:color="000000"/>
            </w:tcBorders>
          </w:tcPr>
          <w:p>
            <w:pPr>
              <w:pStyle w:val="TableBody"/>
              <w:keepNext w:val="true"/>
              <w:keepLines/>
              <w:tabs>
                <w:tab w:val="clear" w:pos="720"/>
                <w:tab w:val="left" w:pos="825" w:leader="none"/>
              </w:tabs>
              <w:ind w:start="-309" w:end="300"/>
              <w:jc w:val="end"/>
              <w:rPr>
                <w:sz w:val="18"/>
              </w:rPr>
            </w:pPr>
            <w:r>
              <w:rPr>
                <w:sz w:val="18"/>
              </w:rPr>
              <w:t>6.3</w:t>
            </w:r>
          </w:p>
        </w:tc>
      </w:tr>
      <w:tr>
        <w:trPr/>
        <w:tc>
          <w:tcPr>
            <w:tcW w:w="2970" w:type="dxa"/>
            <w:tcBorders>
              <w:start w:val="single" w:sz="4" w:space="0" w:color="000000"/>
            </w:tcBorders>
          </w:tcPr>
          <w:p>
            <w:pPr>
              <w:pStyle w:val="TableBody"/>
              <w:keepNext w:val="true"/>
              <w:keepLines/>
              <w:rPr>
                <w:sz w:val="18"/>
              </w:rPr>
            </w:pPr>
            <w:r>
              <w:rPr>
                <w:sz w:val="18"/>
              </w:rPr>
              <w:t>Voltz Redonda</w:t>
            </w:r>
          </w:p>
        </w:tc>
        <w:tc>
          <w:tcPr>
            <w:tcW w:w="1200" w:type="dxa"/>
            <w:tcBorders/>
          </w:tcPr>
          <w:p>
            <w:pPr>
              <w:pStyle w:val="TableBody"/>
              <w:keepNext w:val="true"/>
              <w:keepLines/>
              <w:tabs>
                <w:tab w:val="clear" w:pos="720"/>
                <w:tab w:val="left" w:pos="608" w:leader="none"/>
              </w:tabs>
              <w:ind w:start="-384" w:end="376"/>
              <w:jc w:val="end"/>
              <w:rPr>
                <w:sz w:val="18"/>
              </w:rPr>
            </w:pPr>
            <w:r>
              <w:rPr>
                <w:sz w:val="18"/>
              </w:rPr>
              <w:t>10</w:t>
            </w:r>
          </w:p>
        </w:tc>
        <w:tc>
          <w:tcPr>
            <w:tcW w:w="1200" w:type="dxa"/>
            <w:tcBorders>
              <w:end w:val="single" w:sz="4" w:space="0" w:color="000000"/>
            </w:tcBorders>
          </w:tcPr>
          <w:p>
            <w:pPr>
              <w:pStyle w:val="TableBody"/>
              <w:keepNext w:val="true"/>
              <w:keepLines/>
              <w:tabs>
                <w:tab w:val="clear" w:pos="720"/>
                <w:tab w:val="left" w:pos="825" w:leader="none"/>
              </w:tabs>
              <w:ind w:start="-309" w:end="300"/>
              <w:jc w:val="end"/>
              <w:rPr>
                <w:sz w:val="18"/>
              </w:rPr>
            </w:pPr>
            <w:r>
              <w:rPr>
                <w:sz w:val="18"/>
              </w:rPr>
              <w:t>8.5</w:t>
            </w:r>
          </w:p>
        </w:tc>
      </w:tr>
      <w:tr>
        <w:trPr/>
        <w:tc>
          <w:tcPr>
            <w:tcW w:w="2970" w:type="dxa"/>
            <w:tcBorders>
              <w:start w:val="single" w:sz="4" w:space="0" w:color="000000"/>
            </w:tcBorders>
          </w:tcPr>
          <w:p>
            <w:pPr>
              <w:pStyle w:val="TableBody"/>
              <w:keepNext w:val="true"/>
              <w:keepLines/>
              <w:rPr>
                <w:sz w:val="18"/>
              </w:rPr>
            </w:pPr>
            <w:r>
              <w:rPr>
                <w:sz w:val="18"/>
              </w:rPr>
              <w:t>Campos</w:t>
            </w:r>
          </w:p>
        </w:tc>
        <w:tc>
          <w:tcPr>
            <w:tcW w:w="1200" w:type="dxa"/>
            <w:tcBorders/>
          </w:tcPr>
          <w:p>
            <w:pPr>
              <w:pStyle w:val="TableBody"/>
              <w:keepNext w:val="true"/>
              <w:keepLines/>
              <w:tabs>
                <w:tab w:val="clear" w:pos="720"/>
                <w:tab w:val="left" w:pos="608" w:leader="none"/>
              </w:tabs>
              <w:ind w:start="-384" w:end="376"/>
              <w:jc w:val="end"/>
              <w:rPr>
                <w:sz w:val="18"/>
              </w:rPr>
            </w:pPr>
            <w:r>
              <w:rPr>
                <w:sz w:val="18"/>
              </w:rPr>
              <w:t>82</w:t>
            </w:r>
          </w:p>
        </w:tc>
        <w:tc>
          <w:tcPr>
            <w:tcW w:w="1200" w:type="dxa"/>
            <w:tcBorders>
              <w:end w:val="single" w:sz="4" w:space="0" w:color="000000"/>
            </w:tcBorders>
          </w:tcPr>
          <w:p>
            <w:pPr>
              <w:pStyle w:val="TableBody"/>
              <w:keepNext w:val="true"/>
              <w:keepLines/>
              <w:tabs>
                <w:tab w:val="clear" w:pos="720"/>
                <w:tab w:val="left" w:pos="825" w:leader="none"/>
              </w:tabs>
              <w:ind w:start="-309" w:end="300"/>
              <w:jc w:val="end"/>
              <w:rPr>
                <w:sz w:val="18"/>
              </w:rPr>
            </w:pPr>
            <w:r>
              <w:rPr>
                <w:sz w:val="18"/>
              </w:rPr>
              <w:t>25.0</w:t>
            </w:r>
          </w:p>
        </w:tc>
      </w:tr>
      <w:tr>
        <w:trPr/>
        <w:tc>
          <w:tcPr>
            <w:tcW w:w="2970" w:type="dxa"/>
            <w:tcBorders>
              <w:start w:val="single" w:sz="4" w:space="0" w:color="000000"/>
            </w:tcBorders>
          </w:tcPr>
          <w:p>
            <w:pPr>
              <w:pStyle w:val="TableBody"/>
              <w:keepNext w:val="true"/>
              <w:keepLines/>
              <w:rPr>
                <w:sz w:val="18"/>
              </w:rPr>
            </w:pPr>
            <w:r>
              <w:rPr>
                <w:sz w:val="18"/>
              </w:rPr>
              <w:t>Barra do Pirai</w:t>
            </w:r>
          </w:p>
        </w:tc>
        <w:tc>
          <w:tcPr>
            <w:tcW w:w="1200" w:type="dxa"/>
            <w:tcBorders/>
          </w:tcPr>
          <w:p>
            <w:pPr>
              <w:pStyle w:val="TableBody"/>
              <w:keepNext w:val="true"/>
              <w:keepLines/>
              <w:tabs>
                <w:tab w:val="clear" w:pos="720"/>
                <w:tab w:val="left" w:pos="608" w:leader="none"/>
              </w:tabs>
              <w:ind w:start="-384" w:end="376"/>
              <w:jc w:val="end"/>
              <w:rPr>
                <w:sz w:val="18"/>
              </w:rPr>
            </w:pPr>
            <w:r>
              <w:rPr>
                <w:sz w:val="18"/>
              </w:rPr>
              <w:t>4</w:t>
            </w:r>
          </w:p>
        </w:tc>
        <w:tc>
          <w:tcPr>
            <w:tcW w:w="1200" w:type="dxa"/>
            <w:tcBorders>
              <w:end w:val="single" w:sz="4" w:space="0" w:color="000000"/>
            </w:tcBorders>
          </w:tcPr>
          <w:p>
            <w:pPr>
              <w:pStyle w:val="TableBody"/>
              <w:keepNext w:val="true"/>
              <w:keepLines/>
              <w:tabs>
                <w:tab w:val="clear" w:pos="720"/>
                <w:tab w:val="left" w:pos="825" w:leader="none"/>
              </w:tabs>
              <w:ind w:start="-309" w:end="300"/>
              <w:jc w:val="end"/>
              <w:rPr>
                <w:sz w:val="18"/>
              </w:rPr>
            </w:pPr>
            <w:r>
              <w:rPr>
                <w:sz w:val="18"/>
              </w:rPr>
              <w:t>16.7</w:t>
            </w:r>
          </w:p>
        </w:tc>
      </w:tr>
      <w:tr>
        <w:trPr/>
        <w:tc>
          <w:tcPr>
            <w:tcW w:w="2970" w:type="dxa"/>
            <w:tcBorders>
              <w:start w:val="single" w:sz="4" w:space="0" w:color="000000"/>
              <w:bottom w:val="single" w:sz="4" w:space="0" w:color="000000"/>
            </w:tcBorders>
          </w:tcPr>
          <w:p>
            <w:pPr>
              <w:pStyle w:val="TableHeadSpace"/>
              <w:snapToGrid w:val="false"/>
              <w:rPr>
                <w:sz w:val="18"/>
              </w:rPr>
            </w:pPr>
            <w:r>
              <w:rPr>
                <w:sz w:val="18"/>
              </w:rPr>
            </w:r>
          </w:p>
        </w:tc>
        <w:tc>
          <w:tcPr>
            <w:tcW w:w="1200" w:type="dxa"/>
            <w:tcBorders>
              <w:bottom w:val="single" w:sz="4" w:space="0" w:color="000000"/>
            </w:tcBorders>
          </w:tcPr>
          <w:p>
            <w:pPr>
              <w:pStyle w:val="TableHeadSpace"/>
              <w:tabs>
                <w:tab w:val="clear" w:pos="720"/>
                <w:tab w:val="left" w:pos="608" w:leader="none"/>
              </w:tabs>
              <w:snapToGrid w:val="false"/>
              <w:ind w:start="-384" w:end="376"/>
              <w:rPr>
                <w:sz w:val="18"/>
              </w:rPr>
            </w:pPr>
            <w:r>
              <w:rPr>
                <w:sz w:val="18"/>
              </w:rPr>
            </w:r>
          </w:p>
        </w:tc>
        <w:tc>
          <w:tcPr>
            <w:tcW w:w="1200" w:type="dxa"/>
            <w:tcBorders>
              <w:bottom w:val="single" w:sz="4" w:space="0" w:color="000000"/>
              <w:end w:val="single" w:sz="4" w:space="0" w:color="000000"/>
            </w:tcBorders>
          </w:tcPr>
          <w:p>
            <w:pPr>
              <w:pStyle w:val="TableHeadSpace"/>
              <w:snapToGrid w:val="false"/>
              <w:ind w:start="-309" w:end="300"/>
              <w:rPr>
                <w:sz w:val="18"/>
              </w:rPr>
            </w:pPr>
            <w:r>
              <w:rPr>
                <w:sz w:val="18"/>
              </w:rPr>
            </w:r>
          </w:p>
        </w:tc>
      </w:tr>
    </w:tbl>
    <w:p>
      <w:pPr>
        <w:pStyle w:val="Normal"/>
        <w:rPr/>
      </w:pPr>
      <w:r>
        <w:rPr/>
      </w:r>
    </w:p>
    <w:p>
      <w:pPr>
        <w:pStyle w:val="Heading3"/>
        <w:ind w:hanging="0" w:start="0"/>
        <w:rPr/>
      </w:pPr>
      <w:r>
        <w:rPr/>
        <w:t>Regulation and Tariffs</w:t>
      </w:r>
    </w:p>
    <w:p>
      <w:pPr>
        <w:pStyle w:val="Heading4"/>
        <w:ind w:hanging="0" w:start="0"/>
        <w:rPr/>
      </w:pPr>
      <w:r>
        <w:rPr/>
        <w:t>Framework</w:t>
      </w:r>
    </w:p>
    <w:p>
      <w:pPr>
        <w:pStyle w:val="BLKmed1st1"/>
        <w:rPr/>
      </w:pPr>
      <w:r>
        <w:rPr/>
        <w:t>At the retail level, natural gas LDCs are regulated by their respective State Governments which grant concessions to the LDCs.  In all cases, Enron’s LDCs have highly favorable concession terms, including long-term exclusive concession rights (limited to 10 years in the case of CEG/CEG-Rio) and stable and transparent tariff structures.  Customers and competing suppliers are not permitted to bypass the LDCs’ networks.</w:t>
      </w:r>
    </w:p>
    <w:p>
      <w:pPr>
        <w:pStyle w:val="BLKmed1st1"/>
        <w:rPr/>
      </w:pPr>
      <w:r>
        <w:rPr/>
        <w:t>The following chart provides an overview of the structure of the natural gas industry in Brazil:</w:t>
      </w:r>
    </w:p>
    <w:p>
      <w:pPr>
        <w:pStyle w:val="TableTitlemed5"/>
        <w:numPr>
          <w:ilvl w:val="0"/>
          <w:numId w:val="0"/>
        </w:numPr>
        <w:jc w:val="center"/>
        <w:outlineLvl w:val="0"/>
        <w:rPr/>
      </w:pPr>
      <w:r>
        <w:rPr/>
        <w:t>Brazil Gas Market Structure</w:t>
      </w:r>
    </w:p>
    <w:p>
      <w:pPr>
        <w:pStyle w:val="Normal"/>
        <w:ind w:start="-567" w:end="0"/>
        <w:jc w:val="start"/>
        <w:rPr/>
      </w:pPr>
      <w:r>
        <w:rPr/>
        <w:drawing>
          <wp:inline distT="0" distB="0" distL="0" distR="0">
            <wp:extent cx="4344035" cy="2892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4" t="-6" r="-4" b="-6"/>
                    <a:stretch>
                      <a:fillRect/>
                    </a:stretch>
                  </pic:blipFill>
                  <pic:spPr bwMode="auto">
                    <a:xfrm>
                      <a:off x="0" y="0"/>
                      <a:ext cx="4344035" cy="2892425"/>
                    </a:xfrm>
                    <a:prstGeom prst="rect">
                      <a:avLst/>
                    </a:prstGeom>
                    <a:noFill/>
                  </pic:spPr>
                </pic:pic>
              </a:graphicData>
            </a:graphic>
          </wp:inline>
        </w:drawing>
      </w:r>
    </w:p>
    <w:p>
      <w:pPr>
        <w:pStyle w:val="BLKmed1st1"/>
        <w:jc w:val="center"/>
        <w:rPr>
          <w:b/>
        </w:rPr>
      </w:pPr>
      <w:r>
        <w:rPr>
          <w:rStyle w:val="hidden"/>
        </w:rPr>
        <w:t>Imported from f17G\142567 on 2.19.00</w:t>
      </w:r>
    </w:p>
    <w:p>
      <w:pPr>
        <w:pStyle w:val="Normal"/>
        <w:rPr/>
      </w:pPr>
      <w:r>
        <w:rPr/>
        <w:t>In the state of Rio de Janeiro, an independent body known as the Public Services Agency (“ASEP”) has been created to implement state and federal laws relating to various public services including gas, public transportation and water.  Created in 1997, ASEP was completely restructured in 1999 upon the appointment of the current governor.  Currently, Inter-American Development Bank funds are being used to train ASEP directors and inspectors to promote transparency and technical competency.  ASEP is responsible for enforcing the provisions of the concession contract and setting tariffs.</w:t>
      </w:r>
    </w:p>
    <w:p>
      <w:pPr>
        <w:pStyle w:val="Heading4"/>
        <w:ind w:hanging="0" w:start="0"/>
        <w:rPr/>
      </w:pPr>
      <w:r>
        <w:rPr/>
        <w:t>Concession Contract</w:t>
      </w:r>
    </w:p>
    <w:p>
      <w:pPr>
        <w:pStyle w:val="Bmed1st1"/>
        <w:numPr>
          <w:ilvl w:val="0"/>
          <w:numId w:val="0"/>
        </w:numPr>
        <w:spacing w:before="0" w:after="110"/>
        <w:ind w:hanging="0" w:start="0"/>
        <w:rPr/>
      </w:pPr>
      <w:r>
        <w:rPr/>
        <w:t>The main elements of CEG/CEG-Rio’s concession contract are:</w:t>
      </w:r>
    </w:p>
    <w:p>
      <w:pPr>
        <w:pStyle w:val="Bmed1st1"/>
        <w:numPr>
          <w:ilvl w:val="0"/>
          <w:numId w:val="10"/>
        </w:numPr>
        <w:spacing w:before="0" w:after="110"/>
        <w:ind w:hanging="0" w:start="0"/>
        <w:rPr/>
      </w:pPr>
      <w:r>
        <w:rPr/>
        <w:t>Renewable (at no cost) 30-year term, closed-access, exclusive franchise.  No by-pass without the concessionaire’s consent.</w:t>
      </w:r>
    </w:p>
    <w:p>
      <w:pPr>
        <w:pStyle w:val="Bmed1st1"/>
        <w:numPr>
          <w:ilvl w:val="0"/>
          <w:numId w:val="10"/>
        </w:numPr>
        <w:spacing w:before="0" w:after="110"/>
        <w:ind w:hanging="0" w:start="0"/>
        <w:rPr/>
      </w:pPr>
      <w:r>
        <w:rPr/>
        <w:t>With effect from July 2007, customers with demand of greater than 100,000 cm/d are free to choose their natural gas supplier, provided that they pay CEG/CEG-Rio the difference between such customer’s cost of gas supply and CEG/CEG-Rio’s cost to purchase that gas.</w:t>
      </w:r>
    </w:p>
    <w:p>
      <w:pPr>
        <w:pStyle w:val="Bmed1st1"/>
        <w:numPr>
          <w:ilvl w:val="0"/>
          <w:numId w:val="10"/>
        </w:numPr>
        <w:spacing w:before="0" w:after="110"/>
        <w:ind w:hanging="0" w:start="0"/>
        <w:rPr/>
      </w:pPr>
      <w:r>
        <w:rPr/>
        <w:t>The concession requires the conversion of over 450,000 residential consumers from manufactured gas to natural gas and the rehabilitation of 1,000 km of manufactured gas distribution network into a steel natural gas network.  The conversion of customers must be 100% complete in 7 years (end of 2004) and 25% in 4 years (end of 2001).  To date, CEG has converted over 39,000 consumers and anticipates meeting the necessary goals laid out in the concession contract.</w:t>
      </w:r>
    </w:p>
    <w:p>
      <w:pPr>
        <w:pStyle w:val="Bmed1st1"/>
        <w:numPr>
          <w:ilvl w:val="0"/>
          <w:numId w:val="10"/>
        </w:numPr>
        <w:spacing w:before="0" w:after="110"/>
        <w:ind w:hanging="0" w:start="0"/>
        <w:rPr/>
      </w:pPr>
      <w:r>
        <w:rPr/>
        <w:t>The investments required must provide a significant public interest and provide adequate returns to the concessionaire.</w:t>
      </w:r>
    </w:p>
    <w:p>
      <w:pPr>
        <w:pStyle w:val="Bmed1st5"/>
        <w:keepNext w:val="true"/>
        <w:keepLines/>
        <w:numPr>
          <w:ilvl w:val="0"/>
          <w:numId w:val="5"/>
        </w:numPr>
        <w:ind w:hanging="0" w:start="0"/>
        <w:rPr/>
      </w:pPr>
      <w:r>
        <w:rPr/>
        <w:t>Contract extinction and expropriation protections are:</w:t>
      </w:r>
    </w:p>
    <w:p>
      <w:pPr>
        <w:pStyle w:val="Bmed2nd0"/>
        <w:keepNext w:val="true"/>
        <w:keepLines/>
        <w:numPr>
          <w:ilvl w:val="0"/>
          <w:numId w:val="7"/>
        </w:numPr>
        <w:tabs>
          <w:tab w:val="clear" w:pos="720"/>
          <w:tab w:val="left" w:pos="810" w:leader="none"/>
        </w:tabs>
        <w:ind w:hanging="0" w:start="360" w:end="0"/>
        <w:rPr/>
      </w:pPr>
      <w:r>
        <w:rPr/>
        <w:t>Repayment of original investment; and</w:t>
      </w:r>
    </w:p>
    <w:p>
      <w:pPr>
        <w:pStyle w:val="Bmed2nd0"/>
        <w:numPr>
          <w:ilvl w:val="0"/>
          <w:numId w:val="7"/>
        </w:numPr>
        <w:tabs>
          <w:tab w:val="clear" w:pos="720"/>
          <w:tab w:val="left" w:pos="810" w:leader="none"/>
        </w:tabs>
        <w:spacing w:lineRule="auto" w:line="300" w:before="0" w:after="220"/>
        <w:ind w:hanging="0" w:start="357" w:end="0"/>
        <w:rPr/>
      </w:pPr>
      <w:r>
        <w:rPr/>
        <w:t>Lost profits.</w:t>
      </w:r>
    </w:p>
    <w:p>
      <w:pPr>
        <w:pStyle w:val="Heading4"/>
        <w:ind w:hanging="0" w:start="0"/>
        <w:rPr/>
      </w:pPr>
      <w:r>
        <w:rPr/>
        <w:t>Tariffs</w:t>
      </w:r>
    </w:p>
    <w:p>
      <w:pPr>
        <w:pStyle w:val="Bmed1st1"/>
        <w:numPr>
          <w:ilvl w:val="0"/>
          <w:numId w:val="10"/>
        </w:numPr>
        <w:spacing w:before="0" w:after="110"/>
        <w:ind w:hanging="0" w:start="0"/>
        <w:rPr/>
      </w:pPr>
      <w:r>
        <w:rPr/>
        <w:t>Each 5th year beginning in 2003, there is a ROA rate setting mechanism that readjusts tariffs to ensure a 12% real rate of return over the next tariff period.  The beginning asset value in this calculation was the minimum bid price at the time of the bid in July 1997 (R$[441] MM), plus the necessary maintenance and expansion capex, both adjusted by IGPM.  It also includes all expenses in the previous year necessary for the operation of business as well as income taxes, adjusted as if there were no interest expenses.  On this basis, the tariff mechanism for CEG/CEG-Rio, unlike that of the electricity sector, maintains the value of the asset base in real terms.</w:t>
      </w:r>
    </w:p>
    <w:p>
      <w:pPr>
        <w:pStyle w:val="Bmed1st1"/>
        <w:numPr>
          <w:ilvl w:val="0"/>
          <w:numId w:val="10"/>
        </w:numPr>
        <w:spacing w:before="0" w:after="110"/>
        <w:ind w:hanging="0" w:start="0"/>
        <w:rPr/>
      </w:pPr>
      <w:r>
        <w:rPr/>
        <w:t>The required return on assets in 2003 is 12% real.  In 2008 and beyond, a clearly defined Capital Asset Pricing Model (“CAPM”) formula, which uses Brazilian bond spreads to take account of country risk, determines the return on assets to be used.</w:t>
      </w:r>
    </w:p>
    <w:p>
      <w:pPr>
        <w:pStyle w:val="Bmed1st1"/>
        <w:numPr>
          <w:ilvl w:val="0"/>
          <w:numId w:val="10"/>
        </w:numPr>
        <w:ind w:hanging="0" w:start="0"/>
        <w:rPr/>
      </w:pPr>
      <w:r>
        <w:rPr/>
        <w:t>The volume utilized to calculate the per unit tariff is 100% of the previous year's volume.</w:t>
      </w:r>
    </w:p>
    <w:p>
      <w:pPr>
        <w:pStyle w:val="Bmed1st1"/>
        <w:numPr>
          <w:ilvl w:val="0"/>
          <w:numId w:val="10"/>
        </w:numPr>
        <w:ind w:hanging="0" w:start="0"/>
        <w:rPr/>
      </w:pPr>
      <w:r>
        <w:rPr/>
        <w:t>Between tariff reviews, tariffs are adjusted annually in line with IGPM and increases in gas supply costs and other non-controllable costs such as revenue taxes are passed through on a monthly basis.</w:t>
      </w:r>
    </w:p>
    <w:p>
      <w:pPr>
        <w:pStyle w:val="Bmed1st1"/>
        <w:numPr>
          <w:ilvl w:val="0"/>
          <w:numId w:val="0"/>
        </w:numPr>
        <w:ind w:hanging="0" w:start="0"/>
        <w:rPr/>
      </w:pPr>
      <w:r>
        <w:rPr/>
        <w:t>Historic and projected tariffs by customer category are given in the section on Financial Information below.</w:t>
      </w:r>
    </w:p>
    <w:p>
      <w:pPr>
        <w:pStyle w:val="Heading3"/>
        <w:ind w:hanging="0" w:start="0"/>
        <w:rPr/>
      </w:pPr>
      <w:r>
        <w:rPr/>
        <w:t>Commercial Structure</w:t>
      </w:r>
    </w:p>
    <w:p>
      <w:pPr>
        <w:pStyle w:val="Heading4"/>
        <w:ind w:hanging="0" w:start="0"/>
        <w:rPr/>
      </w:pPr>
      <w:r>
        <w:rPr/>
        <w:t>Customers and Consumption</w:t>
      </w:r>
    </w:p>
    <w:p>
      <w:pPr>
        <w:pStyle w:val="Normal"/>
        <w:rPr/>
      </w:pPr>
      <w:r>
        <w:rPr/>
        <w:t>As shown below, natural gas is projected to increase its market share from 12.6% in 1997 to 21.0% in 2004.</w:t>
      </w:r>
    </w:p>
    <w:tbl>
      <w:tblPr>
        <w:tblW w:w="6570" w:type="dxa"/>
        <w:jc w:val="start"/>
        <w:tblInd w:w="108" w:type="dxa"/>
        <w:tblLayout w:type="fixed"/>
        <w:tblCellMar>
          <w:top w:w="0" w:type="dxa"/>
          <w:start w:w="108" w:type="dxa"/>
          <w:bottom w:w="0" w:type="dxa"/>
          <w:end w:w="108" w:type="dxa"/>
        </w:tblCellMar>
      </w:tblPr>
      <w:tblGrid>
        <w:gridCol w:w="2250"/>
        <w:gridCol w:w="1440"/>
        <w:gridCol w:w="1440"/>
        <w:gridCol w:w="1440"/>
      </w:tblGrid>
      <w:tr>
        <w:trPr/>
        <w:tc>
          <w:tcPr>
            <w:tcW w:w="2250" w:type="dxa"/>
            <w:tcBorders>
              <w:top w:val="single" w:sz="4" w:space="0" w:color="000000"/>
              <w:start w:val="single" w:sz="4" w:space="0" w:color="000000"/>
              <w:bottom w:val="single" w:sz="4" w:space="0" w:color="000000"/>
            </w:tcBorders>
            <w:shd w:fill="FFFF00" w:val="clear"/>
          </w:tcPr>
          <w:p>
            <w:pPr>
              <w:pStyle w:val="TableBody"/>
              <w:keepNext w:val="true"/>
              <w:keepLines/>
              <w:snapToGrid w:val="false"/>
              <w:rPr>
                <w:b/>
                <w:sz w:val="18"/>
              </w:rPr>
            </w:pPr>
            <w:r>
              <w:rPr>
                <w:b/>
                <w:sz w:val="18"/>
              </w:rPr>
            </w:r>
          </w:p>
        </w:tc>
        <w:tc>
          <w:tcPr>
            <w:tcW w:w="1440" w:type="dxa"/>
            <w:tcBorders>
              <w:top w:val="single" w:sz="4" w:space="0" w:color="000000"/>
              <w:bottom w:val="single" w:sz="4" w:space="0" w:color="000000"/>
            </w:tcBorders>
            <w:shd w:fill="FFFF00" w:val="clear"/>
          </w:tcPr>
          <w:p>
            <w:pPr>
              <w:pStyle w:val="TableHead"/>
              <w:pBdr>
                <w:bottom w:val="nil"/>
              </w:pBdr>
              <w:rPr>
                <w:sz w:val="18"/>
              </w:rPr>
            </w:pPr>
            <w:r>
              <w:rPr>
                <w:sz w:val="18"/>
              </w:rPr>
              <w:t>1997</w:t>
            </w:r>
          </w:p>
        </w:tc>
        <w:tc>
          <w:tcPr>
            <w:tcW w:w="1440" w:type="dxa"/>
            <w:tcBorders>
              <w:top w:val="single" w:sz="4" w:space="0" w:color="000000"/>
              <w:bottom w:val="single" w:sz="4" w:space="0" w:color="000000"/>
            </w:tcBorders>
            <w:shd w:fill="FFFF00" w:val="clear"/>
          </w:tcPr>
          <w:p>
            <w:pPr>
              <w:pStyle w:val="TableHead"/>
              <w:pBdr>
                <w:bottom w:val="nil"/>
              </w:pBdr>
              <w:rPr>
                <w:sz w:val="18"/>
              </w:rPr>
            </w:pPr>
            <w:r>
              <w:rPr>
                <w:sz w:val="18"/>
              </w:rPr>
              <w:t>2000E</w:t>
            </w:r>
          </w:p>
        </w:tc>
        <w:tc>
          <w:tcPr>
            <w:tcW w:w="1440" w:type="dxa"/>
            <w:tcBorders>
              <w:top w:val="single" w:sz="4" w:space="0" w:color="000000"/>
              <w:bottom w:val="single" w:sz="4" w:space="0" w:color="000000"/>
              <w:end w:val="single" w:sz="4" w:space="0" w:color="000000"/>
            </w:tcBorders>
            <w:shd w:fill="FFFF00" w:val="clear"/>
          </w:tcPr>
          <w:p>
            <w:pPr>
              <w:pStyle w:val="TableHead"/>
              <w:pBdr>
                <w:bottom w:val="nil"/>
              </w:pBdr>
              <w:rPr>
                <w:sz w:val="18"/>
              </w:rPr>
            </w:pPr>
            <w:r>
              <w:rPr>
                <w:sz w:val="18"/>
              </w:rPr>
              <w:t>2004E</w:t>
            </w:r>
          </w:p>
        </w:tc>
      </w:tr>
      <w:tr>
        <w:trPr/>
        <w:tc>
          <w:tcPr>
            <w:tcW w:w="2250" w:type="dxa"/>
            <w:tcBorders>
              <w:start w:val="single" w:sz="4" w:space="0" w:color="000000"/>
            </w:tcBorders>
          </w:tcPr>
          <w:p>
            <w:pPr>
              <w:pStyle w:val="TableBody"/>
              <w:keepNext w:val="true"/>
              <w:keepLines/>
              <w:snapToGrid w:val="false"/>
              <w:rPr>
                <w:rFonts w:ascii="Arial Narrow" w:hAnsi="Arial Narrow" w:cs="Arial Narrow"/>
                <w:sz w:val="18"/>
              </w:rPr>
            </w:pPr>
            <w:r>
              <w:rPr>
                <w:rFonts w:cs="Arial Narrow"/>
                <w:sz w:val="18"/>
              </w:rPr>
            </w:r>
          </w:p>
        </w:tc>
        <w:tc>
          <w:tcPr>
            <w:tcW w:w="1440" w:type="dxa"/>
            <w:tcBorders/>
          </w:tcPr>
          <w:p>
            <w:pPr>
              <w:pStyle w:val="TableBody"/>
              <w:keepNext w:val="true"/>
              <w:keepLines/>
              <w:jc w:val="center"/>
              <w:rPr>
                <w:sz w:val="18"/>
              </w:rPr>
            </w:pPr>
            <w:r>
              <w:rPr>
                <w:sz w:val="18"/>
              </w:rPr>
              <w:t>%</w:t>
            </w:r>
          </w:p>
        </w:tc>
        <w:tc>
          <w:tcPr>
            <w:tcW w:w="1440" w:type="dxa"/>
            <w:tcBorders/>
          </w:tcPr>
          <w:p>
            <w:pPr>
              <w:pStyle w:val="TableBody"/>
              <w:keepNext w:val="true"/>
              <w:keepLines/>
              <w:jc w:val="center"/>
              <w:rPr>
                <w:sz w:val="18"/>
              </w:rPr>
            </w:pPr>
            <w:r>
              <w:rPr>
                <w:sz w:val="18"/>
              </w:rPr>
              <w:t>%</w:t>
            </w:r>
          </w:p>
        </w:tc>
        <w:tc>
          <w:tcPr>
            <w:tcW w:w="1440" w:type="dxa"/>
            <w:tcBorders>
              <w:end w:val="single" w:sz="4" w:space="0" w:color="000000"/>
            </w:tcBorders>
          </w:tcPr>
          <w:p>
            <w:pPr>
              <w:pStyle w:val="TableBody"/>
              <w:keepNext w:val="true"/>
              <w:keepLines/>
              <w:jc w:val="center"/>
              <w:rPr>
                <w:sz w:val="18"/>
              </w:rPr>
            </w:pPr>
            <w:r>
              <w:rPr>
                <w:sz w:val="18"/>
              </w:rPr>
              <w:t>%</w:t>
            </w:r>
          </w:p>
        </w:tc>
      </w:tr>
      <w:tr>
        <w:trPr/>
        <w:tc>
          <w:tcPr>
            <w:tcW w:w="2250" w:type="dxa"/>
            <w:tcBorders>
              <w:start w:val="single" w:sz="4" w:space="0" w:color="000000"/>
            </w:tcBorders>
          </w:tcPr>
          <w:p>
            <w:pPr>
              <w:pStyle w:val="TableBody"/>
              <w:keepNext w:val="true"/>
              <w:keepLines/>
              <w:rPr>
                <w:sz w:val="18"/>
              </w:rPr>
            </w:pPr>
            <w:r>
              <w:rPr>
                <w:sz w:val="18"/>
              </w:rPr>
              <w:t>Electricity</w:t>
            </w:r>
          </w:p>
        </w:tc>
        <w:tc>
          <w:tcPr>
            <w:tcW w:w="1440" w:type="dxa"/>
            <w:tcBorders/>
          </w:tcPr>
          <w:p>
            <w:pPr>
              <w:pStyle w:val="TableBody"/>
              <w:keepNext w:val="true"/>
              <w:keepLines/>
              <w:tabs>
                <w:tab w:val="clear" w:pos="720"/>
                <w:tab w:val="decimal" w:pos="612" w:leader="none"/>
              </w:tabs>
              <w:rPr>
                <w:sz w:val="18"/>
              </w:rPr>
            </w:pPr>
            <w:r>
              <w:rPr>
                <w:sz w:val="18"/>
              </w:rPr>
              <w:t>17.0</w:t>
            </w:r>
          </w:p>
        </w:tc>
        <w:tc>
          <w:tcPr>
            <w:tcW w:w="1440" w:type="dxa"/>
            <w:tcBorders/>
          </w:tcPr>
          <w:p>
            <w:pPr>
              <w:pStyle w:val="TableBody"/>
              <w:keepNext w:val="true"/>
              <w:keepLines/>
              <w:tabs>
                <w:tab w:val="clear" w:pos="720"/>
                <w:tab w:val="decimal" w:pos="612" w:leader="none"/>
              </w:tabs>
              <w:rPr>
                <w:sz w:val="18"/>
              </w:rPr>
            </w:pPr>
            <w:r>
              <w:rPr>
                <w:sz w:val="18"/>
              </w:rPr>
              <w:t>17.0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18.0</w:t>
            </w:r>
          </w:p>
        </w:tc>
      </w:tr>
      <w:tr>
        <w:trPr/>
        <w:tc>
          <w:tcPr>
            <w:tcW w:w="2250" w:type="dxa"/>
            <w:tcBorders>
              <w:start w:val="single" w:sz="4" w:space="0" w:color="000000"/>
            </w:tcBorders>
          </w:tcPr>
          <w:p>
            <w:pPr>
              <w:pStyle w:val="TableBody"/>
              <w:keepNext w:val="true"/>
              <w:keepLines/>
              <w:rPr>
                <w:sz w:val="18"/>
              </w:rPr>
            </w:pPr>
            <w:r>
              <w:rPr>
                <w:sz w:val="18"/>
              </w:rPr>
              <w:t>Coal/Coke</w:t>
            </w:r>
          </w:p>
        </w:tc>
        <w:tc>
          <w:tcPr>
            <w:tcW w:w="1440" w:type="dxa"/>
            <w:tcBorders/>
          </w:tcPr>
          <w:p>
            <w:pPr>
              <w:pStyle w:val="TableBody"/>
              <w:keepNext w:val="true"/>
              <w:keepLines/>
              <w:tabs>
                <w:tab w:val="clear" w:pos="720"/>
                <w:tab w:val="decimal" w:pos="612" w:leader="none"/>
              </w:tabs>
              <w:rPr>
                <w:sz w:val="18"/>
              </w:rPr>
            </w:pPr>
            <w:r>
              <w:rPr>
                <w:sz w:val="18"/>
              </w:rPr>
              <w:t>13.0</w:t>
            </w:r>
          </w:p>
        </w:tc>
        <w:tc>
          <w:tcPr>
            <w:tcW w:w="1440" w:type="dxa"/>
            <w:tcBorders/>
          </w:tcPr>
          <w:p>
            <w:pPr>
              <w:pStyle w:val="TableBody"/>
              <w:keepNext w:val="true"/>
              <w:keepLines/>
              <w:tabs>
                <w:tab w:val="clear" w:pos="720"/>
                <w:tab w:val="decimal" w:pos="612" w:leader="none"/>
              </w:tabs>
              <w:rPr>
                <w:sz w:val="18"/>
              </w:rPr>
            </w:pPr>
            <w:r>
              <w:rPr>
                <w:sz w:val="18"/>
              </w:rPr>
              <w:t>13.0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13.0</w:t>
            </w:r>
          </w:p>
        </w:tc>
      </w:tr>
      <w:tr>
        <w:trPr/>
        <w:tc>
          <w:tcPr>
            <w:tcW w:w="2250" w:type="dxa"/>
            <w:tcBorders>
              <w:start w:val="single" w:sz="4" w:space="0" w:color="000000"/>
            </w:tcBorders>
          </w:tcPr>
          <w:p>
            <w:pPr>
              <w:pStyle w:val="TableBody"/>
              <w:keepNext w:val="true"/>
              <w:keepLines/>
              <w:rPr>
                <w:sz w:val="18"/>
              </w:rPr>
            </w:pPr>
            <w:r>
              <w:rPr>
                <w:sz w:val="18"/>
              </w:rPr>
              <w:t>Diesel</w:t>
            </w:r>
          </w:p>
        </w:tc>
        <w:tc>
          <w:tcPr>
            <w:tcW w:w="1440" w:type="dxa"/>
            <w:tcBorders/>
          </w:tcPr>
          <w:p>
            <w:pPr>
              <w:pStyle w:val="TableBody"/>
              <w:keepNext w:val="true"/>
              <w:keepLines/>
              <w:tabs>
                <w:tab w:val="clear" w:pos="720"/>
                <w:tab w:val="decimal" w:pos="612" w:leader="none"/>
              </w:tabs>
              <w:rPr>
                <w:sz w:val="18"/>
              </w:rPr>
            </w:pPr>
            <w:r>
              <w:rPr>
                <w:sz w:val="18"/>
              </w:rPr>
              <w:t>13.0</w:t>
            </w:r>
          </w:p>
        </w:tc>
        <w:tc>
          <w:tcPr>
            <w:tcW w:w="1440" w:type="dxa"/>
            <w:tcBorders/>
          </w:tcPr>
          <w:p>
            <w:pPr>
              <w:pStyle w:val="TableBody"/>
              <w:keepNext w:val="true"/>
              <w:keepLines/>
              <w:tabs>
                <w:tab w:val="clear" w:pos="720"/>
                <w:tab w:val="decimal" w:pos="612" w:leader="none"/>
              </w:tabs>
              <w:rPr>
                <w:sz w:val="18"/>
              </w:rPr>
            </w:pPr>
            <w:r>
              <w:rPr>
                <w:sz w:val="18"/>
              </w:rPr>
              <w:t>11.0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10.0</w:t>
            </w:r>
          </w:p>
        </w:tc>
      </w:tr>
      <w:tr>
        <w:trPr/>
        <w:tc>
          <w:tcPr>
            <w:tcW w:w="2250" w:type="dxa"/>
            <w:tcBorders>
              <w:start w:val="single" w:sz="4" w:space="0" w:color="000000"/>
            </w:tcBorders>
          </w:tcPr>
          <w:p>
            <w:pPr>
              <w:pStyle w:val="TableBody"/>
              <w:keepNext w:val="true"/>
              <w:keepLines/>
              <w:rPr>
                <w:sz w:val="18"/>
              </w:rPr>
            </w:pPr>
            <w:r>
              <w:rPr>
                <w:sz w:val="18"/>
              </w:rPr>
              <w:t>Natural Gas</w:t>
            </w:r>
          </w:p>
        </w:tc>
        <w:tc>
          <w:tcPr>
            <w:tcW w:w="1440" w:type="dxa"/>
            <w:tcBorders/>
          </w:tcPr>
          <w:p>
            <w:pPr>
              <w:pStyle w:val="TableBody"/>
              <w:keepNext w:val="true"/>
              <w:keepLines/>
              <w:tabs>
                <w:tab w:val="clear" w:pos="720"/>
                <w:tab w:val="decimal" w:pos="612" w:leader="none"/>
              </w:tabs>
              <w:rPr>
                <w:sz w:val="18"/>
              </w:rPr>
            </w:pPr>
            <w:r>
              <w:rPr>
                <w:sz w:val="18"/>
              </w:rPr>
              <w:t>12.6</w:t>
            </w:r>
          </w:p>
        </w:tc>
        <w:tc>
          <w:tcPr>
            <w:tcW w:w="1440" w:type="dxa"/>
            <w:tcBorders/>
          </w:tcPr>
          <w:p>
            <w:pPr>
              <w:pStyle w:val="TableBody"/>
              <w:keepNext w:val="true"/>
              <w:keepLines/>
              <w:tabs>
                <w:tab w:val="clear" w:pos="720"/>
                <w:tab w:val="decimal" w:pos="612" w:leader="none"/>
              </w:tabs>
              <w:rPr>
                <w:sz w:val="18"/>
              </w:rPr>
            </w:pPr>
            <w:r>
              <w:rPr>
                <w:sz w:val="18"/>
              </w:rPr>
              <w:t>19.0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21.0</w:t>
            </w:r>
          </w:p>
        </w:tc>
      </w:tr>
      <w:tr>
        <w:trPr/>
        <w:tc>
          <w:tcPr>
            <w:tcW w:w="2250" w:type="dxa"/>
            <w:tcBorders>
              <w:start w:val="single" w:sz="4" w:space="0" w:color="000000"/>
            </w:tcBorders>
          </w:tcPr>
          <w:p>
            <w:pPr>
              <w:pStyle w:val="TableBody"/>
              <w:keepNext w:val="true"/>
              <w:keepLines/>
              <w:rPr>
                <w:sz w:val="18"/>
              </w:rPr>
            </w:pPr>
            <w:r>
              <w:rPr>
                <w:sz w:val="18"/>
              </w:rPr>
              <w:t>Fuel Oil</w:t>
            </w:r>
          </w:p>
        </w:tc>
        <w:tc>
          <w:tcPr>
            <w:tcW w:w="1440" w:type="dxa"/>
            <w:tcBorders/>
          </w:tcPr>
          <w:p>
            <w:pPr>
              <w:pStyle w:val="TableBody"/>
              <w:keepNext w:val="true"/>
              <w:keepLines/>
              <w:tabs>
                <w:tab w:val="clear" w:pos="720"/>
                <w:tab w:val="decimal" w:pos="612" w:leader="none"/>
              </w:tabs>
              <w:rPr>
                <w:sz w:val="18"/>
              </w:rPr>
            </w:pPr>
            <w:r>
              <w:rPr>
                <w:sz w:val="18"/>
              </w:rPr>
              <w:t>10.2</w:t>
            </w:r>
          </w:p>
        </w:tc>
        <w:tc>
          <w:tcPr>
            <w:tcW w:w="1440" w:type="dxa"/>
            <w:tcBorders/>
          </w:tcPr>
          <w:p>
            <w:pPr>
              <w:pStyle w:val="TableBody"/>
              <w:keepNext w:val="true"/>
              <w:keepLines/>
              <w:tabs>
                <w:tab w:val="clear" w:pos="720"/>
                <w:tab w:val="decimal" w:pos="612" w:leader="none"/>
              </w:tabs>
              <w:rPr>
                <w:sz w:val="18"/>
              </w:rPr>
            </w:pPr>
            <w:r>
              <w:rPr>
                <w:sz w:val="18"/>
              </w:rPr>
              <w:t>9.0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10.0</w:t>
            </w:r>
          </w:p>
        </w:tc>
      </w:tr>
      <w:tr>
        <w:trPr/>
        <w:tc>
          <w:tcPr>
            <w:tcW w:w="2250" w:type="dxa"/>
            <w:tcBorders>
              <w:start w:val="single" w:sz="4" w:space="0" w:color="000000"/>
            </w:tcBorders>
          </w:tcPr>
          <w:p>
            <w:pPr>
              <w:pStyle w:val="TableBody"/>
              <w:keepNext w:val="true"/>
              <w:keepLines/>
              <w:rPr>
                <w:sz w:val="18"/>
              </w:rPr>
            </w:pPr>
            <w:r>
              <w:rPr>
                <w:sz w:val="18"/>
              </w:rPr>
              <w:t>Alcohol and gasoline</w:t>
            </w:r>
          </w:p>
        </w:tc>
        <w:tc>
          <w:tcPr>
            <w:tcW w:w="1440" w:type="dxa"/>
            <w:tcBorders/>
          </w:tcPr>
          <w:p>
            <w:pPr>
              <w:pStyle w:val="TableBody"/>
              <w:keepNext w:val="true"/>
              <w:keepLines/>
              <w:tabs>
                <w:tab w:val="clear" w:pos="720"/>
                <w:tab w:val="decimal" w:pos="612" w:leader="none"/>
              </w:tabs>
              <w:rPr>
                <w:sz w:val="18"/>
              </w:rPr>
            </w:pPr>
            <w:r>
              <w:rPr>
                <w:sz w:val="18"/>
              </w:rPr>
              <w:t>12.6</w:t>
            </w:r>
          </w:p>
        </w:tc>
        <w:tc>
          <w:tcPr>
            <w:tcW w:w="1440" w:type="dxa"/>
            <w:tcBorders/>
          </w:tcPr>
          <w:p>
            <w:pPr>
              <w:pStyle w:val="TableBody"/>
              <w:keepNext w:val="true"/>
              <w:keepLines/>
              <w:tabs>
                <w:tab w:val="clear" w:pos="720"/>
                <w:tab w:val="decimal" w:pos="612" w:leader="none"/>
              </w:tabs>
              <w:rPr>
                <w:sz w:val="18"/>
              </w:rPr>
            </w:pPr>
            <w:r>
              <w:rPr>
                <w:sz w:val="18"/>
              </w:rPr>
              <w:t>12.0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10.0</w:t>
            </w:r>
          </w:p>
        </w:tc>
      </w:tr>
      <w:tr>
        <w:trPr/>
        <w:tc>
          <w:tcPr>
            <w:tcW w:w="2250" w:type="dxa"/>
            <w:tcBorders>
              <w:start w:val="single" w:sz="4" w:space="0" w:color="000000"/>
            </w:tcBorders>
          </w:tcPr>
          <w:p>
            <w:pPr>
              <w:pStyle w:val="TableBody"/>
              <w:keepNext w:val="true"/>
              <w:keepLines/>
              <w:rPr>
                <w:sz w:val="18"/>
              </w:rPr>
            </w:pPr>
            <w:r>
              <w:rPr>
                <w:sz w:val="18"/>
              </w:rPr>
              <w:t>LPG</w:t>
            </w:r>
          </w:p>
        </w:tc>
        <w:tc>
          <w:tcPr>
            <w:tcW w:w="1440" w:type="dxa"/>
            <w:tcBorders/>
          </w:tcPr>
          <w:p>
            <w:pPr>
              <w:pStyle w:val="TableBody"/>
              <w:keepNext w:val="true"/>
              <w:keepLines/>
              <w:tabs>
                <w:tab w:val="clear" w:pos="720"/>
                <w:tab w:val="decimal" w:pos="612" w:leader="none"/>
              </w:tabs>
              <w:rPr>
                <w:sz w:val="18"/>
              </w:rPr>
            </w:pPr>
            <w:r>
              <w:rPr>
                <w:sz w:val="18"/>
              </w:rPr>
              <w:t>4.3</w:t>
            </w:r>
          </w:p>
        </w:tc>
        <w:tc>
          <w:tcPr>
            <w:tcW w:w="1440" w:type="dxa"/>
            <w:tcBorders/>
          </w:tcPr>
          <w:p>
            <w:pPr>
              <w:pStyle w:val="TableBody"/>
              <w:keepNext w:val="true"/>
              <w:keepLines/>
              <w:tabs>
                <w:tab w:val="clear" w:pos="720"/>
                <w:tab w:val="decimal" w:pos="612" w:leader="none"/>
              </w:tabs>
              <w:rPr>
                <w:sz w:val="18"/>
              </w:rPr>
            </w:pPr>
            <w:r>
              <w:rPr>
                <w:sz w:val="18"/>
              </w:rPr>
              <w:t>4.0</w:t>
            </w:r>
          </w:p>
        </w:tc>
        <w:tc>
          <w:tcPr>
            <w:tcW w:w="1440" w:type="dxa"/>
            <w:tcBorders>
              <w:end w:val="single" w:sz="4" w:space="0" w:color="000000"/>
            </w:tcBorders>
          </w:tcPr>
          <w:p>
            <w:pPr>
              <w:pStyle w:val="TableBody"/>
              <w:keepNext w:val="true"/>
              <w:keepLines/>
              <w:tabs>
                <w:tab w:val="clear" w:pos="720"/>
                <w:tab w:val="decimal" w:pos="612" w:leader="none"/>
              </w:tabs>
              <w:rPr>
                <w:sz w:val="18"/>
              </w:rPr>
            </w:pPr>
            <w:r>
              <w:rPr>
                <w:sz w:val="18"/>
              </w:rPr>
              <w:t>4.0</w:t>
            </w:r>
          </w:p>
        </w:tc>
      </w:tr>
      <w:tr>
        <w:trPr/>
        <w:tc>
          <w:tcPr>
            <w:tcW w:w="2250" w:type="dxa"/>
            <w:tcBorders>
              <w:start w:val="single" w:sz="4" w:space="0" w:color="000000"/>
              <w:bottom w:val="single" w:sz="4" w:space="0" w:color="000000"/>
            </w:tcBorders>
          </w:tcPr>
          <w:p>
            <w:pPr>
              <w:pStyle w:val="TableBody"/>
              <w:keepNext w:val="true"/>
              <w:keepLines/>
              <w:snapToGrid w:val="false"/>
              <w:rPr>
                <w:rFonts w:ascii="Arial Narrow" w:hAnsi="Arial Narrow" w:cs="Arial Narrow"/>
                <w:sz w:val="18"/>
              </w:rPr>
            </w:pPr>
            <w:r>
              <w:rPr>
                <w:rFonts w:cs="Arial Narrow"/>
                <w:sz w:val="18"/>
              </w:rPr>
            </w:r>
          </w:p>
        </w:tc>
        <w:tc>
          <w:tcPr>
            <w:tcW w:w="1440" w:type="dxa"/>
            <w:tcBorders>
              <w:bottom w:val="single" w:sz="4" w:space="0" w:color="000000"/>
            </w:tcBorders>
          </w:tcPr>
          <w:p>
            <w:pPr>
              <w:pStyle w:val="TableBody"/>
              <w:keepNext w:val="true"/>
              <w:keepLines/>
              <w:tabs>
                <w:tab w:val="clear" w:pos="720"/>
                <w:tab w:val="decimal" w:pos="432" w:leader="none"/>
              </w:tabs>
              <w:snapToGrid w:val="false"/>
              <w:rPr>
                <w:sz w:val="18"/>
              </w:rPr>
            </w:pPr>
            <w:r>
              <w:rPr>
                <w:sz w:val="18"/>
              </w:rPr>
            </w:r>
          </w:p>
        </w:tc>
        <w:tc>
          <w:tcPr>
            <w:tcW w:w="1440" w:type="dxa"/>
            <w:tcBorders>
              <w:bottom w:val="single" w:sz="4" w:space="0" w:color="000000"/>
            </w:tcBorders>
          </w:tcPr>
          <w:p>
            <w:pPr>
              <w:pStyle w:val="TableBody"/>
              <w:keepNext w:val="true"/>
              <w:keepLines/>
              <w:tabs>
                <w:tab w:val="clear" w:pos="720"/>
                <w:tab w:val="decimal" w:pos="432" w:leader="none"/>
              </w:tabs>
              <w:snapToGrid w:val="false"/>
              <w:rPr>
                <w:sz w:val="18"/>
              </w:rPr>
            </w:pPr>
            <w:r>
              <w:rPr>
                <w:sz w:val="18"/>
              </w:rPr>
            </w:r>
          </w:p>
        </w:tc>
        <w:tc>
          <w:tcPr>
            <w:tcW w:w="1440" w:type="dxa"/>
            <w:tcBorders>
              <w:bottom w:val="single" w:sz="4" w:space="0" w:color="000000"/>
              <w:end w:val="single" w:sz="4" w:space="0" w:color="000000"/>
            </w:tcBorders>
          </w:tcPr>
          <w:p>
            <w:pPr>
              <w:pStyle w:val="TableBody"/>
              <w:keepNext w:val="true"/>
              <w:keepLines/>
              <w:tabs>
                <w:tab w:val="clear" w:pos="720"/>
                <w:tab w:val="decimal" w:pos="432" w:leader="none"/>
              </w:tabs>
              <w:snapToGrid w:val="false"/>
              <w:rPr>
                <w:sz w:val="18"/>
              </w:rPr>
            </w:pPr>
            <w:r>
              <w:rPr>
                <w:sz w:val="18"/>
              </w:rPr>
            </w:r>
          </w:p>
        </w:tc>
      </w:tr>
      <w:tr>
        <w:trPr/>
        <w:tc>
          <w:tcPr>
            <w:tcW w:w="6570" w:type="dxa"/>
            <w:gridSpan w:val="4"/>
            <w:tcBorders/>
          </w:tcPr>
          <w:p>
            <w:pPr>
              <w:pStyle w:val="TableBody"/>
              <w:keepNext w:val="true"/>
              <w:keepLines/>
              <w:tabs>
                <w:tab w:val="clear" w:pos="720"/>
                <w:tab w:val="decimal" w:pos="612" w:leader="none"/>
              </w:tabs>
              <w:spacing w:lineRule="auto" w:line="300" w:before="0" w:after="220"/>
              <w:ind w:hanging="522" w:start="522" w:end="0"/>
              <w:rPr/>
            </w:pPr>
            <w:r>
              <w:rPr>
                <w:b/>
                <w:sz w:val="18"/>
              </w:rPr>
              <w:t>Source:</w:t>
            </w:r>
            <w:r>
              <w:rPr>
                <w:sz w:val="18"/>
              </w:rPr>
              <w:t xml:space="preserve">  Matriz Energética do Estado do Rio de Janeiro 1994-2004 and McKinsey &amp; Co</w:t>
            </w:r>
          </w:p>
        </w:tc>
      </w:tr>
    </w:tbl>
    <w:p>
      <w:pPr>
        <w:pStyle w:val="BLKmed1st1"/>
        <w:spacing w:before="120" w:after="120"/>
        <w:rPr/>
      </w:pPr>
      <w:r>
        <w:rPr/>
        <w:t>The following table provides an overview of the customer profile of each of CEG and CEG-Rio in 1999:</w:t>
      </w:r>
    </w:p>
    <w:tbl>
      <w:tblPr>
        <w:tblW w:w="6570" w:type="dxa"/>
        <w:jc w:val="start"/>
        <w:tblInd w:w="108" w:type="dxa"/>
        <w:tblLayout w:type="fixed"/>
        <w:tblCellMar>
          <w:top w:w="0" w:type="dxa"/>
          <w:start w:w="108" w:type="dxa"/>
          <w:bottom w:w="0" w:type="dxa"/>
          <w:end w:w="108" w:type="dxa"/>
        </w:tblCellMar>
      </w:tblPr>
      <w:tblGrid>
        <w:gridCol w:w="2160"/>
        <w:gridCol w:w="1800"/>
        <w:gridCol w:w="1800"/>
        <w:gridCol w:w="810"/>
      </w:tblGrid>
      <w:tr>
        <w:trPr/>
        <w:tc>
          <w:tcPr>
            <w:tcW w:w="2160" w:type="dxa"/>
            <w:tcBorders>
              <w:top w:val="single" w:sz="4" w:space="0" w:color="000000"/>
              <w:start w:val="single" w:sz="4" w:space="0" w:color="000000"/>
              <w:bottom w:val="single" w:sz="4" w:space="0" w:color="000000"/>
            </w:tcBorders>
            <w:shd w:fill="FFFF00" w:val="clear"/>
          </w:tcPr>
          <w:p>
            <w:pPr>
              <w:pStyle w:val="TableBody"/>
              <w:keepNext w:val="true"/>
              <w:snapToGrid w:val="false"/>
              <w:rPr>
                <w:b/>
                <w:sz w:val="18"/>
              </w:rPr>
            </w:pPr>
            <w:r>
              <w:rPr>
                <w:b/>
                <w:sz w:val="18"/>
              </w:rPr>
            </w:r>
          </w:p>
        </w:tc>
        <w:tc>
          <w:tcPr>
            <w:tcW w:w="1800" w:type="dxa"/>
            <w:tcBorders>
              <w:top w:val="single" w:sz="4" w:space="0" w:color="000000"/>
              <w:bottom w:val="single" w:sz="4" w:space="0" w:color="000000"/>
            </w:tcBorders>
            <w:shd w:fill="FFFF00" w:val="clear"/>
          </w:tcPr>
          <w:p>
            <w:pPr>
              <w:pStyle w:val="TableHead"/>
              <w:pBdr>
                <w:bottom w:val="nil"/>
              </w:pBdr>
              <w:rPr>
                <w:sz w:val="18"/>
              </w:rPr>
            </w:pPr>
            <w:r>
              <w:rPr>
                <w:sz w:val="18"/>
              </w:rPr>
              <w:t>CEG</w:t>
            </w:r>
          </w:p>
        </w:tc>
        <w:tc>
          <w:tcPr>
            <w:tcW w:w="1800" w:type="dxa"/>
            <w:tcBorders>
              <w:top w:val="single" w:sz="4" w:space="0" w:color="000000"/>
              <w:bottom w:val="single" w:sz="4" w:space="0" w:color="000000"/>
            </w:tcBorders>
            <w:shd w:fill="FFFF00" w:val="clear"/>
          </w:tcPr>
          <w:p>
            <w:pPr>
              <w:pStyle w:val="TableHead"/>
              <w:pBdr>
                <w:bottom w:val="nil"/>
              </w:pBdr>
              <w:rPr>
                <w:sz w:val="18"/>
              </w:rPr>
            </w:pPr>
            <w:r>
              <w:rPr>
                <w:sz w:val="18"/>
              </w:rPr>
              <w:t>CEG-Rio</w:t>
            </w:r>
          </w:p>
        </w:tc>
        <w:tc>
          <w:tcPr>
            <w:tcW w:w="810" w:type="dxa"/>
            <w:tcBorders>
              <w:top w:val="single" w:sz="4" w:space="0" w:color="000000"/>
              <w:bottom w:val="single" w:sz="4" w:space="0" w:color="000000"/>
              <w:end w:val="single" w:sz="4" w:space="0" w:color="000000"/>
            </w:tcBorders>
            <w:shd w:fill="FFFF00" w:val="clear"/>
          </w:tcPr>
          <w:p>
            <w:pPr>
              <w:pStyle w:val="TableHead"/>
              <w:pBdr>
                <w:bottom w:val="nil"/>
              </w:pBdr>
              <w:rPr>
                <w:sz w:val="18"/>
              </w:rPr>
            </w:pPr>
            <w:r>
              <w:rPr>
                <w:sz w:val="18"/>
              </w:rPr>
              <w:t>Total</w:t>
            </w:r>
          </w:p>
        </w:tc>
      </w:tr>
      <w:tr>
        <w:trPr/>
        <w:tc>
          <w:tcPr>
            <w:tcW w:w="2160" w:type="dxa"/>
            <w:tcBorders>
              <w:start w:val="single" w:sz="4" w:space="0" w:color="000000"/>
            </w:tcBorders>
          </w:tcPr>
          <w:p>
            <w:pPr>
              <w:pStyle w:val="TableHeadSpace"/>
              <w:keepLines w:val="false"/>
              <w:snapToGrid w:val="false"/>
              <w:rPr>
                <w:sz w:val="18"/>
              </w:rPr>
            </w:pPr>
            <w:r>
              <w:rPr>
                <w:sz w:val="18"/>
              </w:rPr>
            </w:r>
          </w:p>
        </w:tc>
        <w:tc>
          <w:tcPr>
            <w:tcW w:w="1800" w:type="dxa"/>
            <w:tcBorders/>
          </w:tcPr>
          <w:p>
            <w:pPr>
              <w:pStyle w:val="TableHeadSpace"/>
              <w:snapToGrid w:val="false"/>
              <w:rPr>
                <w:sz w:val="18"/>
              </w:rPr>
            </w:pPr>
            <w:r>
              <w:rPr>
                <w:sz w:val="18"/>
              </w:rPr>
            </w:r>
          </w:p>
        </w:tc>
        <w:tc>
          <w:tcPr>
            <w:tcW w:w="1800" w:type="dxa"/>
            <w:tcBorders/>
          </w:tcPr>
          <w:p>
            <w:pPr>
              <w:pStyle w:val="TableHeadSpace"/>
              <w:snapToGrid w:val="false"/>
              <w:rPr>
                <w:sz w:val="18"/>
              </w:rPr>
            </w:pPr>
            <w:r>
              <w:rPr>
                <w:sz w:val="18"/>
              </w:rPr>
            </w:r>
          </w:p>
        </w:tc>
        <w:tc>
          <w:tcPr>
            <w:tcW w:w="810" w:type="dxa"/>
            <w:tcBorders>
              <w:end w:val="single" w:sz="4" w:space="0" w:color="000000"/>
            </w:tcBorders>
          </w:tcPr>
          <w:p>
            <w:pPr>
              <w:pStyle w:val="TableHeadSpace"/>
              <w:snapToGrid w:val="false"/>
              <w:rPr>
                <w:sz w:val="18"/>
              </w:rPr>
            </w:pPr>
            <w:r>
              <w:rPr>
                <w:sz w:val="18"/>
              </w:rPr>
            </w:r>
          </w:p>
        </w:tc>
      </w:tr>
      <w:tr>
        <w:trPr/>
        <w:tc>
          <w:tcPr>
            <w:tcW w:w="2160" w:type="dxa"/>
            <w:tcBorders>
              <w:start w:val="single" w:sz="4" w:space="0" w:color="000000"/>
            </w:tcBorders>
          </w:tcPr>
          <w:p>
            <w:pPr>
              <w:pStyle w:val="TableBody"/>
              <w:keepNext w:val="true"/>
              <w:spacing w:before="0" w:after="60"/>
              <w:rPr>
                <w:sz w:val="18"/>
              </w:rPr>
            </w:pPr>
            <w:r>
              <w:rPr>
                <w:sz w:val="18"/>
              </w:rPr>
              <w:t>Area</w:t>
            </w:r>
          </w:p>
        </w:tc>
        <w:tc>
          <w:tcPr>
            <w:tcW w:w="1800" w:type="dxa"/>
            <w:tcBorders/>
          </w:tcPr>
          <w:p>
            <w:pPr>
              <w:pStyle w:val="TableBody"/>
              <w:keepNext w:val="true"/>
              <w:jc w:val="center"/>
              <w:rPr>
                <w:sz w:val="18"/>
              </w:rPr>
            </w:pPr>
            <w:r>
              <w:rPr>
                <w:sz w:val="18"/>
              </w:rPr>
              <w:t>City of Rio de Janeiro</w:t>
            </w:r>
          </w:p>
        </w:tc>
        <w:tc>
          <w:tcPr>
            <w:tcW w:w="1800" w:type="dxa"/>
            <w:tcBorders/>
          </w:tcPr>
          <w:p>
            <w:pPr>
              <w:pStyle w:val="TableBody"/>
              <w:keepNext w:val="true"/>
              <w:jc w:val="center"/>
              <w:rPr>
                <w:sz w:val="18"/>
              </w:rPr>
            </w:pPr>
            <w:r>
              <w:rPr>
                <w:sz w:val="18"/>
              </w:rPr>
              <w:t>State of Rio de Janeiro</w:t>
            </w:r>
          </w:p>
        </w:tc>
        <w:tc>
          <w:tcPr>
            <w:tcW w:w="810" w:type="dxa"/>
            <w:tcBorders>
              <w:end w:val="single" w:sz="4" w:space="0" w:color="000000"/>
            </w:tcBorders>
          </w:tcPr>
          <w:p>
            <w:pPr>
              <w:pStyle w:val="TableBody"/>
              <w:keepNext w:val="true"/>
              <w:tabs>
                <w:tab w:val="clear" w:pos="720"/>
                <w:tab w:val="decimal" w:pos="252" w:leader="none"/>
              </w:tabs>
              <w:snapToGrid w:val="false"/>
              <w:rPr>
                <w:sz w:val="18"/>
              </w:rPr>
            </w:pPr>
            <w:r>
              <w:rPr>
                <w:sz w:val="18"/>
              </w:rPr>
            </w:r>
          </w:p>
        </w:tc>
      </w:tr>
      <w:tr>
        <w:trPr/>
        <w:tc>
          <w:tcPr>
            <w:tcW w:w="2160" w:type="dxa"/>
            <w:tcBorders>
              <w:start w:val="single" w:sz="4" w:space="0" w:color="000000"/>
            </w:tcBorders>
          </w:tcPr>
          <w:p>
            <w:pPr>
              <w:pStyle w:val="TableBody"/>
              <w:keepNext w:val="true"/>
              <w:spacing w:before="0" w:after="60"/>
              <w:rPr>
                <w:sz w:val="18"/>
              </w:rPr>
            </w:pPr>
            <w:r>
              <w:rPr>
                <w:sz w:val="18"/>
              </w:rPr>
              <w:t>Number of Customers</w:t>
            </w:r>
          </w:p>
        </w:tc>
        <w:tc>
          <w:tcPr>
            <w:tcW w:w="1800" w:type="dxa"/>
            <w:tcBorders/>
          </w:tcPr>
          <w:p>
            <w:pPr>
              <w:pStyle w:val="TableBody"/>
              <w:keepNext w:val="true"/>
              <w:jc w:val="center"/>
              <w:rPr>
                <w:sz w:val="18"/>
              </w:rPr>
            </w:pPr>
            <w:r>
              <w:rPr>
                <w:sz w:val="18"/>
              </w:rPr>
              <w:t>576,500</w:t>
            </w:r>
          </w:p>
        </w:tc>
        <w:tc>
          <w:tcPr>
            <w:tcW w:w="1800" w:type="dxa"/>
            <w:tcBorders/>
          </w:tcPr>
          <w:p>
            <w:pPr>
              <w:pStyle w:val="TableBody"/>
              <w:keepNext w:val="true"/>
              <w:ind w:end="-18"/>
              <w:jc w:val="center"/>
              <w:rPr>
                <w:sz w:val="18"/>
              </w:rPr>
            </w:pPr>
            <w:r>
              <w:rPr>
                <w:sz w:val="18"/>
              </w:rPr>
              <w:t>19</w:t>
            </w:r>
          </w:p>
        </w:tc>
        <w:tc>
          <w:tcPr>
            <w:tcW w:w="810" w:type="dxa"/>
            <w:tcBorders>
              <w:end w:val="single" w:sz="4" w:space="0" w:color="000000"/>
            </w:tcBorders>
          </w:tcPr>
          <w:p>
            <w:pPr>
              <w:pStyle w:val="TableBody"/>
              <w:keepNext w:val="true"/>
              <w:rPr>
                <w:sz w:val="18"/>
              </w:rPr>
            </w:pPr>
            <w:r>
              <w:rPr>
                <w:sz w:val="18"/>
              </w:rPr>
              <w:t>576,519</w:t>
            </w:r>
          </w:p>
        </w:tc>
      </w:tr>
      <w:tr>
        <w:trPr/>
        <w:tc>
          <w:tcPr>
            <w:tcW w:w="2160" w:type="dxa"/>
            <w:tcBorders>
              <w:start w:val="single" w:sz="4" w:space="0" w:color="000000"/>
            </w:tcBorders>
          </w:tcPr>
          <w:p>
            <w:pPr>
              <w:pStyle w:val="TableBody"/>
              <w:keepNext w:val="true"/>
              <w:rPr>
                <w:sz w:val="18"/>
              </w:rPr>
            </w:pPr>
            <w:r>
              <w:rPr>
                <w:sz w:val="18"/>
              </w:rPr>
              <w:t>Volumes MMm3/D</w:t>
            </w:r>
          </w:p>
        </w:tc>
        <w:tc>
          <w:tcPr>
            <w:tcW w:w="1800" w:type="dxa"/>
            <w:tcBorders/>
          </w:tcPr>
          <w:p>
            <w:pPr>
              <w:pStyle w:val="TableBody"/>
              <w:keepNext w:val="true"/>
              <w:tabs>
                <w:tab w:val="clear" w:pos="720"/>
                <w:tab w:val="decimal" w:pos="792" w:leader="none"/>
              </w:tabs>
              <w:rPr>
                <w:sz w:val="18"/>
              </w:rPr>
            </w:pPr>
            <w:r>
              <w:rPr>
                <w:sz w:val="18"/>
              </w:rPr>
              <w:t>2.2</w:t>
            </w:r>
          </w:p>
        </w:tc>
        <w:tc>
          <w:tcPr>
            <w:tcW w:w="1800" w:type="dxa"/>
            <w:tcBorders/>
          </w:tcPr>
          <w:p>
            <w:pPr>
              <w:pStyle w:val="TableBody"/>
              <w:keepNext w:val="true"/>
              <w:tabs>
                <w:tab w:val="clear" w:pos="720"/>
                <w:tab w:val="decimal" w:pos="882" w:leader="none"/>
              </w:tabs>
              <w:rPr>
                <w:sz w:val="18"/>
              </w:rPr>
            </w:pPr>
            <w:r>
              <w:rPr>
                <w:sz w:val="18"/>
              </w:rPr>
              <w:t>1.3</w:t>
            </w:r>
          </w:p>
        </w:tc>
        <w:tc>
          <w:tcPr>
            <w:tcW w:w="810" w:type="dxa"/>
            <w:tcBorders>
              <w:end w:val="single" w:sz="4" w:space="0" w:color="000000"/>
            </w:tcBorders>
          </w:tcPr>
          <w:p>
            <w:pPr>
              <w:pStyle w:val="TableBody"/>
              <w:keepNext w:val="true"/>
              <w:tabs>
                <w:tab w:val="clear" w:pos="720"/>
                <w:tab w:val="decimal" w:pos="252" w:leader="none"/>
              </w:tabs>
              <w:rPr>
                <w:sz w:val="18"/>
              </w:rPr>
            </w:pPr>
            <w:r>
              <w:rPr>
                <w:sz w:val="18"/>
              </w:rPr>
              <w:t>3.5</w:t>
            </w:r>
          </w:p>
        </w:tc>
      </w:tr>
      <w:tr>
        <w:trPr/>
        <w:tc>
          <w:tcPr>
            <w:tcW w:w="2160" w:type="dxa"/>
            <w:tcBorders>
              <w:start w:val="single" w:sz="4" w:space="0" w:color="000000"/>
            </w:tcBorders>
          </w:tcPr>
          <w:p>
            <w:pPr>
              <w:pStyle w:val="TableBody"/>
              <w:keepNext w:val="true"/>
              <w:rPr>
                <w:sz w:val="18"/>
              </w:rPr>
            </w:pPr>
            <w:r>
              <w:rPr>
                <w:sz w:val="18"/>
              </w:rPr>
              <w:tab/>
              <w:t>% Residential</w:t>
            </w:r>
          </w:p>
        </w:tc>
        <w:tc>
          <w:tcPr>
            <w:tcW w:w="1800" w:type="dxa"/>
            <w:tcBorders/>
          </w:tcPr>
          <w:p>
            <w:pPr>
              <w:pStyle w:val="TableBody"/>
              <w:keepNext w:val="true"/>
              <w:tabs>
                <w:tab w:val="clear" w:pos="720"/>
                <w:tab w:val="decimal" w:pos="792" w:leader="none"/>
              </w:tabs>
              <w:rPr>
                <w:sz w:val="18"/>
              </w:rPr>
            </w:pPr>
            <w:r>
              <w:rPr>
                <w:sz w:val="18"/>
              </w:rPr>
              <w:t>11.6</w:t>
            </w:r>
          </w:p>
        </w:tc>
        <w:tc>
          <w:tcPr>
            <w:tcW w:w="1800" w:type="dxa"/>
            <w:tcBorders/>
          </w:tcPr>
          <w:p>
            <w:pPr>
              <w:pStyle w:val="TableBody"/>
              <w:keepNext w:val="true"/>
              <w:tabs>
                <w:tab w:val="clear" w:pos="720"/>
                <w:tab w:val="decimal" w:pos="882" w:leader="none"/>
              </w:tabs>
              <w:rPr>
                <w:sz w:val="18"/>
              </w:rPr>
            </w:pPr>
            <w:r>
              <w:rPr>
                <w:sz w:val="18"/>
              </w:rPr>
              <w:t>0.0</w:t>
            </w:r>
          </w:p>
        </w:tc>
        <w:tc>
          <w:tcPr>
            <w:tcW w:w="810" w:type="dxa"/>
            <w:tcBorders>
              <w:end w:val="single" w:sz="4" w:space="0" w:color="000000"/>
            </w:tcBorders>
          </w:tcPr>
          <w:p>
            <w:pPr>
              <w:pStyle w:val="TableBody"/>
              <w:keepNext w:val="true"/>
              <w:tabs>
                <w:tab w:val="clear" w:pos="720"/>
                <w:tab w:val="decimal" w:pos="252" w:leader="none"/>
              </w:tabs>
              <w:rPr>
                <w:sz w:val="18"/>
              </w:rPr>
            </w:pPr>
            <w:r>
              <w:rPr>
                <w:sz w:val="18"/>
              </w:rPr>
              <w:t>7.3</w:t>
            </w:r>
          </w:p>
        </w:tc>
      </w:tr>
      <w:tr>
        <w:trPr/>
        <w:tc>
          <w:tcPr>
            <w:tcW w:w="2160" w:type="dxa"/>
            <w:tcBorders>
              <w:start w:val="single" w:sz="4" w:space="0" w:color="000000"/>
            </w:tcBorders>
          </w:tcPr>
          <w:p>
            <w:pPr>
              <w:pStyle w:val="TableBody"/>
              <w:keepNext w:val="true"/>
              <w:rPr>
                <w:sz w:val="18"/>
              </w:rPr>
            </w:pPr>
            <w:r>
              <w:rPr>
                <w:sz w:val="18"/>
              </w:rPr>
              <w:tab/>
              <w:t>% Commercial</w:t>
            </w:r>
          </w:p>
        </w:tc>
        <w:tc>
          <w:tcPr>
            <w:tcW w:w="1800" w:type="dxa"/>
            <w:tcBorders/>
          </w:tcPr>
          <w:p>
            <w:pPr>
              <w:pStyle w:val="TableBody"/>
              <w:keepNext w:val="true"/>
              <w:tabs>
                <w:tab w:val="clear" w:pos="720"/>
                <w:tab w:val="decimal" w:pos="792" w:leader="none"/>
              </w:tabs>
              <w:rPr>
                <w:sz w:val="18"/>
              </w:rPr>
            </w:pPr>
            <w:r>
              <w:rPr>
                <w:sz w:val="18"/>
              </w:rPr>
              <w:t>3.9</w:t>
            </w:r>
          </w:p>
        </w:tc>
        <w:tc>
          <w:tcPr>
            <w:tcW w:w="1800" w:type="dxa"/>
            <w:tcBorders/>
          </w:tcPr>
          <w:p>
            <w:pPr>
              <w:pStyle w:val="TableBody"/>
              <w:keepNext w:val="true"/>
              <w:tabs>
                <w:tab w:val="clear" w:pos="720"/>
                <w:tab w:val="decimal" w:pos="882" w:leader="none"/>
              </w:tabs>
              <w:rPr>
                <w:sz w:val="18"/>
              </w:rPr>
            </w:pPr>
            <w:r>
              <w:rPr>
                <w:sz w:val="18"/>
              </w:rPr>
              <w:t>0.0</w:t>
            </w:r>
          </w:p>
        </w:tc>
        <w:tc>
          <w:tcPr>
            <w:tcW w:w="810" w:type="dxa"/>
            <w:tcBorders>
              <w:end w:val="single" w:sz="4" w:space="0" w:color="000000"/>
            </w:tcBorders>
          </w:tcPr>
          <w:p>
            <w:pPr>
              <w:pStyle w:val="TableBody"/>
              <w:keepNext w:val="true"/>
              <w:tabs>
                <w:tab w:val="clear" w:pos="720"/>
                <w:tab w:val="decimal" w:pos="252" w:leader="none"/>
              </w:tabs>
              <w:rPr>
                <w:sz w:val="18"/>
              </w:rPr>
            </w:pPr>
            <w:r>
              <w:rPr>
                <w:sz w:val="18"/>
              </w:rPr>
              <w:t>2.5</w:t>
            </w:r>
          </w:p>
        </w:tc>
      </w:tr>
      <w:tr>
        <w:trPr/>
        <w:tc>
          <w:tcPr>
            <w:tcW w:w="2160" w:type="dxa"/>
            <w:tcBorders>
              <w:start w:val="single" w:sz="4" w:space="0" w:color="000000"/>
            </w:tcBorders>
          </w:tcPr>
          <w:p>
            <w:pPr>
              <w:pStyle w:val="TableBody"/>
              <w:rPr>
                <w:sz w:val="18"/>
              </w:rPr>
            </w:pPr>
            <w:r>
              <w:rPr>
                <w:sz w:val="18"/>
              </w:rPr>
              <w:tab/>
              <w:t>% Industrial</w:t>
            </w:r>
          </w:p>
        </w:tc>
        <w:tc>
          <w:tcPr>
            <w:tcW w:w="1800" w:type="dxa"/>
            <w:tcBorders/>
          </w:tcPr>
          <w:p>
            <w:pPr>
              <w:pStyle w:val="TableBody"/>
              <w:tabs>
                <w:tab w:val="clear" w:pos="720"/>
                <w:tab w:val="decimal" w:pos="792" w:leader="none"/>
              </w:tabs>
              <w:rPr>
                <w:sz w:val="18"/>
              </w:rPr>
            </w:pPr>
            <w:r>
              <w:rPr>
                <w:sz w:val="18"/>
              </w:rPr>
              <w:t>48.5</w:t>
            </w:r>
          </w:p>
        </w:tc>
        <w:tc>
          <w:tcPr>
            <w:tcW w:w="1800" w:type="dxa"/>
            <w:tcBorders/>
          </w:tcPr>
          <w:p>
            <w:pPr>
              <w:pStyle w:val="TableBody"/>
              <w:tabs>
                <w:tab w:val="clear" w:pos="720"/>
                <w:tab w:val="decimal" w:pos="882" w:leader="none"/>
              </w:tabs>
              <w:rPr>
                <w:sz w:val="18"/>
              </w:rPr>
            </w:pPr>
            <w:r>
              <w:rPr>
                <w:sz w:val="18"/>
              </w:rPr>
              <w:t>100.0</w:t>
            </w:r>
          </w:p>
        </w:tc>
        <w:tc>
          <w:tcPr>
            <w:tcW w:w="810" w:type="dxa"/>
            <w:tcBorders>
              <w:end w:val="single" w:sz="4" w:space="0" w:color="000000"/>
            </w:tcBorders>
          </w:tcPr>
          <w:p>
            <w:pPr>
              <w:pStyle w:val="TableBody"/>
              <w:tabs>
                <w:tab w:val="clear" w:pos="720"/>
                <w:tab w:val="decimal" w:pos="252" w:leader="none"/>
              </w:tabs>
              <w:rPr>
                <w:sz w:val="18"/>
              </w:rPr>
            </w:pPr>
            <w:r>
              <w:rPr>
                <w:sz w:val="18"/>
              </w:rPr>
              <w:t>65.2</w:t>
            </w:r>
          </w:p>
        </w:tc>
      </w:tr>
      <w:tr>
        <w:trPr/>
        <w:tc>
          <w:tcPr>
            <w:tcW w:w="2160" w:type="dxa"/>
            <w:tcBorders>
              <w:start w:val="single" w:sz="4" w:space="0" w:color="000000"/>
              <w:bottom w:val="single" w:sz="4" w:space="0" w:color="000000"/>
            </w:tcBorders>
          </w:tcPr>
          <w:p>
            <w:pPr>
              <w:pStyle w:val="TableBody"/>
              <w:spacing w:before="0" w:after="60"/>
              <w:rPr>
                <w:sz w:val="18"/>
              </w:rPr>
            </w:pPr>
            <w:r>
              <w:rPr>
                <w:sz w:val="18"/>
              </w:rPr>
              <w:tab/>
              <w:t>% Other</w:t>
            </w:r>
          </w:p>
        </w:tc>
        <w:tc>
          <w:tcPr>
            <w:tcW w:w="1800" w:type="dxa"/>
            <w:tcBorders>
              <w:bottom w:val="single" w:sz="4" w:space="0" w:color="000000"/>
            </w:tcBorders>
          </w:tcPr>
          <w:p>
            <w:pPr>
              <w:pStyle w:val="TableBody"/>
              <w:tabs>
                <w:tab w:val="clear" w:pos="720"/>
                <w:tab w:val="decimal" w:pos="792" w:leader="none"/>
              </w:tabs>
              <w:rPr>
                <w:sz w:val="18"/>
              </w:rPr>
            </w:pPr>
            <w:r>
              <w:rPr>
                <w:sz w:val="18"/>
              </w:rPr>
              <w:t>36.0</w:t>
            </w:r>
          </w:p>
        </w:tc>
        <w:tc>
          <w:tcPr>
            <w:tcW w:w="1800" w:type="dxa"/>
            <w:tcBorders>
              <w:bottom w:val="single" w:sz="4" w:space="0" w:color="000000"/>
            </w:tcBorders>
          </w:tcPr>
          <w:p>
            <w:pPr>
              <w:pStyle w:val="TableBody"/>
              <w:tabs>
                <w:tab w:val="clear" w:pos="720"/>
                <w:tab w:val="decimal" w:pos="882" w:leader="none"/>
              </w:tabs>
              <w:rPr>
                <w:sz w:val="18"/>
              </w:rPr>
            </w:pPr>
            <w:r>
              <w:rPr>
                <w:sz w:val="18"/>
              </w:rPr>
              <w:t>0.0</w:t>
            </w:r>
          </w:p>
        </w:tc>
        <w:tc>
          <w:tcPr>
            <w:tcW w:w="810" w:type="dxa"/>
            <w:tcBorders>
              <w:bottom w:val="single" w:sz="4" w:space="0" w:color="000000"/>
              <w:end w:val="single" w:sz="4" w:space="0" w:color="000000"/>
            </w:tcBorders>
          </w:tcPr>
          <w:p>
            <w:pPr>
              <w:pStyle w:val="TableBody"/>
              <w:tabs>
                <w:tab w:val="clear" w:pos="720"/>
                <w:tab w:val="decimal" w:pos="252" w:leader="none"/>
              </w:tabs>
              <w:rPr>
                <w:sz w:val="18"/>
              </w:rPr>
            </w:pPr>
            <w:r>
              <w:rPr>
                <w:sz w:val="18"/>
              </w:rPr>
              <w:t>25.0</w:t>
            </w:r>
          </w:p>
        </w:tc>
      </w:tr>
    </w:tbl>
    <w:p>
      <w:pPr>
        <w:pStyle w:val="BLKmed1st1"/>
        <w:rPr>
          <w:b/>
        </w:rPr>
      </w:pPr>
      <w:r>
        <w:rPr>
          <w:b/>
        </w:rPr>
      </w:r>
    </w:p>
    <w:p>
      <w:pPr>
        <w:pStyle w:val="BLKmed1st1"/>
        <w:keepNext w:val="true"/>
        <w:rPr/>
      </w:pPr>
      <w:r>
        <w:rPr/>
        <w:t>The table below shows CEG and CEG-Rio’s largest customers:</w:t>
      </w:r>
    </w:p>
    <w:p>
      <w:pPr>
        <w:pStyle w:val="TableTitlemed5"/>
        <w:numPr>
          <w:ilvl w:val="0"/>
          <w:numId w:val="0"/>
        </w:numPr>
        <w:spacing w:before="0" w:after="0"/>
        <w:jc w:val="center"/>
        <w:outlineLvl w:val="0"/>
        <w:rPr/>
      </w:pPr>
      <w:r>
        <w:rPr/>
        <w:t>Top Industrial Consumers by Volume</w:t>
      </w:r>
    </w:p>
    <w:p>
      <w:pPr>
        <w:pStyle w:val="TableTitlemed5"/>
        <w:spacing w:before="0" w:after="0"/>
        <w:jc w:val="center"/>
        <w:rPr/>
      </w:pPr>
      <w:r>
        <w:rPr/>
        <w:t>(000 m</w:t>
      </w:r>
      <w:r>
        <w:rPr>
          <w:vertAlign w:val="superscript"/>
        </w:rPr>
        <w:t>3</w:t>
      </w:r>
      <w:r>
        <w:rPr/>
        <w:t xml:space="preserve"> per day)</w:t>
      </w:r>
    </w:p>
    <w:tbl>
      <w:tblPr>
        <w:tblW w:w="6480" w:type="dxa"/>
        <w:jc w:val="start"/>
        <w:tblInd w:w="108" w:type="dxa"/>
        <w:tblLayout w:type="fixed"/>
        <w:tblCellMar>
          <w:top w:w="0" w:type="dxa"/>
          <w:start w:w="108" w:type="dxa"/>
          <w:bottom w:w="0" w:type="dxa"/>
          <w:end w:w="108" w:type="dxa"/>
        </w:tblCellMar>
      </w:tblPr>
      <w:tblGrid>
        <w:gridCol w:w="1095"/>
        <w:gridCol w:w="885"/>
        <w:gridCol w:w="990"/>
        <w:gridCol w:w="360"/>
        <w:gridCol w:w="1440"/>
        <w:gridCol w:w="810"/>
        <w:gridCol w:w="900"/>
      </w:tblGrid>
      <w:tr>
        <w:trPr/>
        <w:tc>
          <w:tcPr>
            <w:tcW w:w="1095" w:type="dxa"/>
            <w:tcBorders>
              <w:top w:val="single" w:sz="4" w:space="0" w:color="000000"/>
              <w:start w:val="single" w:sz="4" w:space="0" w:color="000000"/>
              <w:bottom w:val="single" w:sz="4" w:space="0" w:color="000000"/>
            </w:tcBorders>
            <w:shd w:fill="FFFF00" w:val="clear"/>
            <w:vAlign w:val="bottom"/>
          </w:tcPr>
          <w:p>
            <w:pPr>
              <w:pStyle w:val="TableHead"/>
              <w:pBdr>
                <w:bottom w:val="nil"/>
              </w:pBdr>
              <w:rPr>
                <w:sz w:val="18"/>
              </w:rPr>
            </w:pPr>
            <w:r>
              <w:rPr>
                <w:sz w:val="18"/>
              </w:rPr>
              <w:t>CEG</w:t>
            </w:r>
          </w:p>
        </w:tc>
        <w:tc>
          <w:tcPr>
            <w:tcW w:w="885" w:type="dxa"/>
            <w:tcBorders>
              <w:top w:val="single" w:sz="4" w:space="0" w:color="000000"/>
              <w:bottom w:val="single" w:sz="4" w:space="0" w:color="000000"/>
            </w:tcBorders>
            <w:shd w:fill="FFFF00" w:val="clear"/>
            <w:vAlign w:val="bottom"/>
          </w:tcPr>
          <w:p>
            <w:pPr>
              <w:pStyle w:val="TableHead"/>
              <w:pBdr>
                <w:bottom w:val="nil"/>
              </w:pBdr>
              <w:snapToGrid w:val="false"/>
              <w:rPr>
                <w:sz w:val="18"/>
              </w:rPr>
            </w:pPr>
            <w:r>
              <w:rPr>
                <w:sz w:val="18"/>
              </w:rPr>
            </w:r>
          </w:p>
        </w:tc>
        <w:tc>
          <w:tcPr>
            <w:tcW w:w="990"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Volume</w:t>
            </w:r>
          </w:p>
        </w:tc>
        <w:tc>
          <w:tcPr>
            <w:tcW w:w="360" w:type="dxa"/>
            <w:tcBorders>
              <w:top w:val="single" w:sz="4" w:space="0" w:color="000000"/>
              <w:bottom w:val="single" w:sz="4" w:space="0" w:color="000000"/>
            </w:tcBorders>
            <w:shd w:fill="FFFF00" w:val="clear"/>
            <w:vAlign w:val="bottom"/>
          </w:tcPr>
          <w:p>
            <w:pPr>
              <w:pStyle w:val="TableBody"/>
              <w:snapToGrid w:val="false"/>
              <w:rPr>
                <w:sz w:val="18"/>
              </w:rPr>
            </w:pPr>
            <w:r>
              <w:rPr>
                <w:sz w:val="18"/>
              </w:rPr>
            </w:r>
          </w:p>
        </w:tc>
        <w:tc>
          <w:tcPr>
            <w:tcW w:w="1440"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CEG-Rio</w:t>
            </w:r>
          </w:p>
        </w:tc>
        <w:tc>
          <w:tcPr>
            <w:tcW w:w="810" w:type="dxa"/>
            <w:tcBorders>
              <w:top w:val="single" w:sz="4" w:space="0" w:color="000000"/>
              <w:bottom w:val="single" w:sz="4" w:space="0" w:color="000000"/>
            </w:tcBorders>
            <w:shd w:fill="FFFF00" w:val="clear"/>
            <w:vAlign w:val="bottom"/>
          </w:tcPr>
          <w:p>
            <w:pPr>
              <w:pStyle w:val="TableHead"/>
              <w:pBdr>
                <w:bottom w:val="nil"/>
              </w:pBdr>
              <w:snapToGrid w:val="false"/>
              <w:rPr>
                <w:sz w:val="18"/>
              </w:rPr>
            </w:pPr>
            <w:r>
              <w:rPr>
                <w:sz w:val="18"/>
              </w:rPr>
            </w:r>
          </w:p>
        </w:tc>
        <w:tc>
          <w:tcPr>
            <w:tcW w:w="900"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Volume</w:t>
            </w:r>
          </w:p>
        </w:tc>
      </w:tr>
      <w:tr>
        <w:trPr/>
        <w:tc>
          <w:tcPr>
            <w:tcW w:w="1095" w:type="dxa"/>
            <w:tcBorders>
              <w:start w:val="single" w:sz="4" w:space="0" w:color="000000"/>
            </w:tcBorders>
          </w:tcPr>
          <w:p>
            <w:pPr>
              <w:pStyle w:val="TableHeadSpace"/>
              <w:snapToGrid w:val="false"/>
              <w:rPr>
                <w:sz w:val="18"/>
              </w:rPr>
            </w:pPr>
            <w:r>
              <w:rPr>
                <w:sz w:val="18"/>
              </w:rPr>
            </w:r>
          </w:p>
        </w:tc>
        <w:tc>
          <w:tcPr>
            <w:tcW w:w="885" w:type="dxa"/>
            <w:tcBorders/>
          </w:tcPr>
          <w:p>
            <w:pPr>
              <w:pStyle w:val="TableHeadSpace"/>
              <w:snapToGrid w:val="false"/>
              <w:rPr>
                <w:sz w:val="18"/>
              </w:rPr>
            </w:pPr>
            <w:r>
              <w:rPr>
                <w:sz w:val="18"/>
              </w:rPr>
            </w:r>
          </w:p>
        </w:tc>
        <w:tc>
          <w:tcPr>
            <w:tcW w:w="990" w:type="dxa"/>
            <w:tcBorders/>
          </w:tcPr>
          <w:p>
            <w:pPr>
              <w:pStyle w:val="TableHeadSpace"/>
              <w:snapToGrid w:val="false"/>
              <w:rPr>
                <w:sz w:val="18"/>
              </w:rPr>
            </w:pPr>
            <w:r>
              <w:rPr>
                <w:sz w:val="18"/>
              </w:rPr>
            </w:r>
          </w:p>
        </w:tc>
        <w:tc>
          <w:tcPr>
            <w:tcW w:w="360" w:type="dxa"/>
            <w:tcBorders/>
          </w:tcPr>
          <w:p>
            <w:pPr>
              <w:pStyle w:val="TableHeadSpace"/>
              <w:snapToGrid w:val="false"/>
              <w:rPr>
                <w:sz w:val="18"/>
              </w:rPr>
            </w:pPr>
            <w:r>
              <w:rPr>
                <w:sz w:val="18"/>
              </w:rPr>
            </w:r>
          </w:p>
        </w:tc>
        <w:tc>
          <w:tcPr>
            <w:tcW w:w="1440" w:type="dxa"/>
            <w:tcBorders/>
          </w:tcPr>
          <w:p>
            <w:pPr>
              <w:pStyle w:val="TableHeadSpace"/>
              <w:snapToGrid w:val="false"/>
              <w:rPr>
                <w:sz w:val="18"/>
              </w:rPr>
            </w:pPr>
            <w:r>
              <w:rPr>
                <w:sz w:val="18"/>
              </w:rPr>
            </w:r>
          </w:p>
        </w:tc>
        <w:tc>
          <w:tcPr>
            <w:tcW w:w="810" w:type="dxa"/>
            <w:tcBorders/>
          </w:tcPr>
          <w:p>
            <w:pPr>
              <w:pStyle w:val="TableHeadSpace"/>
              <w:snapToGrid w:val="false"/>
              <w:rPr>
                <w:sz w:val="18"/>
              </w:rPr>
            </w:pPr>
            <w:r>
              <w:rPr>
                <w:sz w:val="18"/>
              </w:rPr>
            </w:r>
          </w:p>
        </w:tc>
        <w:tc>
          <w:tcPr>
            <w:tcW w:w="900" w:type="dxa"/>
            <w:tcBorders>
              <w:end w:val="single" w:sz="4" w:space="0" w:color="000000"/>
            </w:tcBorders>
          </w:tcPr>
          <w:p>
            <w:pPr>
              <w:pStyle w:val="TableHeadSpace"/>
              <w:snapToGrid w:val="false"/>
              <w:rPr>
                <w:sz w:val="18"/>
              </w:rPr>
            </w:pPr>
            <w:r>
              <w:rPr>
                <w:sz w:val="18"/>
              </w:rPr>
            </w:r>
          </w:p>
        </w:tc>
      </w:tr>
      <w:tr>
        <w:trPr/>
        <w:tc>
          <w:tcPr>
            <w:tcW w:w="1095" w:type="dxa"/>
            <w:tcBorders>
              <w:start w:val="single" w:sz="4" w:space="0" w:color="000000"/>
            </w:tcBorders>
          </w:tcPr>
          <w:p>
            <w:pPr>
              <w:pStyle w:val="TableBody"/>
              <w:keepNext w:val="true"/>
              <w:keepLines/>
              <w:rPr>
                <w:sz w:val="18"/>
              </w:rPr>
            </w:pPr>
            <w:r>
              <w:rPr>
                <w:sz w:val="18"/>
              </w:rPr>
              <w:t>Prosint</w:t>
            </w:r>
          </w:p>
        </w:tc>
        <w:tc>
          <w:tcPr>
            <w:tcW w:w="885" w:type="dxa"/>
            <w:tcBorders/>
          </w:tcPr>
          <w:p>
            <w:pPr>
              <w:pStyle w:val="TableBody"/>
              <w:keepNext w:val="true"/>
              <w:keepLines/>
              <w:snapToGrid w:val="false"/>
              <w:rPr>
                <w:sz w:val="18"/>
              </w:rPr>
            </w:pPr>
            <w:r>
              <w:rPr>
                <w:sz w:val="18"/>
              </w:rPr>
            </w:r>
          </w:p>
        </w:tc>
        <w:tc>
          <w:tcPr>
            <w:tcW w:w="990" w:type="dxa"/>
            <w:tcBorders/>
          </w:tcPr>
          <w:p>
            <w:pPr>
              <w:pStyle w:val="TableBody"/>
              <w:keepNext w:val="true"/>
              <w:keepLines/>
              <w:jc w:val="center"/>
              <w:rPr>
                <w:sz w:val="18"/>
              </w:rPr>
            </w:pPr>
            <w:r>
              <w:rPr>
                <w:sz w:val="18"/>
              </w:rPr>
              <w:t>300</w:t>
            </w:r>
          </w:p>
        </w:tc>
        <w:tc>
          <w:tcPr>
            <w:tcW w:w="360" w:type="dxa"/>
            <w:tcBorders/>
          </w:tcPr>
          <w:p>
            <w:pPr>
              <w:pStyle w:val="TableBody"/>
              <w:keepNext w:val="true"/>
              <w:keepLines/>
              <w:snapToGrid w:val="false"/>
              <w:jc w:val="center"/>
              <w:rPr>
                <w:sz w:val="18"/>
              </w:rPr>
            </w:pPr>
            <w:r>
              <w:rPr>
                <w:sz w:val="18"/>
              </w:rPr>
            </w:r>
          </w:p>
        </w:tc>
        <w:tc>
          <w:tcPr>
            <w:tcW w:w="1440" w:type="dxa"/>
            <w:tcBorders/>
          </w:tcPr>
          <w:p>
            <w:pPr>
              <w:pStyle w:val="TableBody"/>
              <w:keepNext w:val="true"/>
              <w:keepLines/>
              <w:ind w:start="-18" w:end="0"/>
              <w:jc w:val="both"/>
              <w:rPr>
                <w:sz w:val="18"/>
              </w:rPr>
            </w:pPr>
            <w:r>
              <w:rPr>
                <w:sz w:val="18"/>
              </w:rPr>
              <w:t>CSN</w:t>
            </w:r>
          </w:p>
        </w:tc>
        <w:tc>
          <w:tcPr>
            <w:tcW w:w="810" w:type="dxa"/>
            <w:tcBorders/>
          </w:tcPr>
          <w:p>
            <w:pPr>
              <w:pStyle w:val="TableBody"/>
              <w:keepNext w:val="true"/>
              <w:keepLines/>
              <w:snapToGrid w:val="false"/>
              <w:ind w:start="-18" w:end="0"/>
              <w:jc w:val="both"/>
              <w:rPr>
                <w:sz w:val="18"/>
              </w:rPr>
            </w:pPr>
            <w:r>
              <w:rPr>
                <w:sz w:val="18"/>
              </w:rPr>
            </w:r>
          </w:p>
        </w:tc>
        <w:tc>
          <w:tcPr>
            <w:tcW w:w="900" w:type="dxa"/>
            <w:tcBorders>
              <w:end w:val="single" w:sz="4" w:space="0" w:color="000000"/>
            </w:tcBorders>
          </w:tcPr>
          <w:p>
            <w:pPr>
              <w:pStyle w:val="TableBody"/>
              <w:keepNext w:val="true"/>
              <w:keepLines/>
              <w:jc w:val="center"/>
              <w:rPr>
                <w:sz w:val="18"/>
              </w:rPr>
            </w:pPr>
            <w:r>
              <w:rPr>
                <w:sz w:val="18"/>
              </w:rPr>
              <w:t>600</w:t>
            </w:r>
          </w:p>
        </w:tc>
      </w:tr>
      <w:tr>
        <w:trPr/>
        <w:tc>
          <w:tcPr>
            <w:tcW w:w="1095" w:type="dxa"/>
            <w:tcBorders>
              <w:start w:val="single" w:sz="4" w:space="0" w:color="000000"/>
            </w:tcBorders>
          </w:tcPr>
          <w:p>
            <w:pPr>
              <w:pStyle w:val="TableBody"/>
              <w:keepNext w:val="true"/>
              <w:keepLines/>
              <w:rPr>
                <w:sz w:val="18"/>
              </w:rPr>
            </w:pPr>
            <w:r>
              <w:rPr>
                <w:sz w:val="18"/>
              </w:rPr>
              <w:t>Santa Cruz</w:t>
            </w:r>
          </w:p>
        </w:tc>
        <w:tc>
          <w:tcPr>
            <w:tcW w:w="885" w:type="dxa"/>
            <w:tcBorders/>
          </w:tcPr>
          <w:p>
            <w:pPr>
              <w:pStyle w:val="TableBody"/>
              <w:keepNext w:val="true"/>
              <w:keepLines/>
              <w:snapToGrid w:val="false"/>
              <w:rPr>
                <w:sz w:val="18"/>
              </w:rPr>
            </w:pPr>
            <w:r>
              <w:rPr>
                <w:sz w:val="18"/>
              </w:rPr>
            </w:r>
          </w:p>
        </w:tc>
        <w:tc>
          <w:tcPr>
            <w:tcW w:w="990" w:type="dxa"/>
            <w:tcBorders/>
          </w:tcPr>
          <w:p>
            <w:pPr>
              <w:pStyle w:val="TableBody"/>
              <w:keepNext w:val="true"/>
              <w:keepLines/>
              <w:jc w:val="center"/>
              <w:rPr>
                <w:sz w:val="18"/>
              </w:rPr>
            </w:pPr>
            <w:r>
              <w:rPr>
                <w:sz w:val="18"/>
              </w:rPr>
              <w:t>200</w:t>
            </w:r>
          </w:p>
        </w:tc>
        <w:tc>
          <w:tcPr>
            <w:tcW w:w="360" w:type="dxa"/>
            <w:tcBorders/>
          </w:tcPr>
          <w:p>
            <w:pPr>
              <w:pStyle w:val="TableBody"/>
              <w:keepNext w:val="true"/>
              <w:keepLines/>
              <w:snapToGrid w:val="false"/>
              <w:jc w:val="center"/>
              <w:rPr>
                <w:sz w:val="18"/>
              </w:rPr>
            </w:pPr>
            <w:r>
              <w:rPr>
                <w:sz w:val="18"/>
              </w:rPr>
            </w:r>
          </w:p>
        </w:tc>
        <w:tc>
          <w:tcPr>
            <w:tcW w:w="1440" w:type="dxa"/>
            <w:tcBorders/>
          </w:tcPr>
          <w:p>
            <w:pPr>
              <w:pStyle w:val="TableBody"/>
              <w:keepNext w:val="true"/>
              <w:keepLines/>
              <w:ind w:start="-18" w:end="0"/>
              <w:rPr>
                <w:sz w:val="18"/>
              </w:rPr>
            </w:pPr>
            <w:r>
              <w:rPr>
                <w:sz w:val="18"/>
              </w:rPr>
              <w:t>Alcalis</w:t>
            </w:r>
          </w:p>
        </w:tc>
        <w:tc>
          <w:tcPr>
            <w:tcW w:w="810" w:type="dxa"/>
            <w:tcBorders/>
          </w:tcPr>
          <w:p>
            <w:pPr>
              <w:pStyle w:val="TableBody"/>
              <w:keepNext w:val="true"/>
              <w:keepLines/>
              <w:snapToGrid w:val="false"/>
              <w:ind w:start="-18" w:end="0"/>
              <w:rPr>
                <w:sz w:val="18"/>
              </w:rPr>
            </w:pPr>
            <w:r>
              <w:rPr>
                <w:sz w:val="18"/>
              </w:rPr>
            </w:r>
          </w:p>
        </w:tc>
        <w:tc>
          <w:tcPr>
            <w:tcW w:w="900" w:type="dxa"/>
            <w:tcBorders>
              <w:end w:val="single" w:sz="4" w:space="0" w:color="000000"/>
            </w:tcBorders>
          </w:tcPr>
          <w:p>
            <w:pPr>
              <w:pStyle w:val="TableBody"/>
              <w:keepNext w:val="true"/>
              <w:keepLines/>
              <w:jc w:val="center"/>
              <w:rPr>
                <w:sz w:val="18"/>
              </w:rPr>
            </w:pPr>
            <w:r>
              <w:rPr>
                <w:sz w:val="18"/>
              </w:rPr>
              <w:t>300</w:t>
            </w:r>
          </w:p>
        </w:tc>
      </w:tr>
      <w:tr>
        <w:trPr/>
        <w:tc>
          <w:tcPr>
            <w:tcW w:w="1095" w:type="dxa"/>
            <w:tcBorders>
              <w:start w:val="single" w:sz="4" w:space="0" w:color="000000"/>
            </w:tcBorders>
          </w:tcPr>
          <w:p>
            <w:pPr>
              <w:pStyle w:val="TableBody"/>
              <w:keepNext w:val="true"/>
              <w:keepLines/>
              <w:rPr>
                <w:sz w:val="18"/>
              </w:rPr>
            </w:pPr>
            <w:r>
              <w:rPr>
                <w:sz w:val="18"/>
              </w:rPr>
              <w:t>Gerdau</w:t>
            </w:r>
          </w:p>
        </w:tc>
        <w:tc>
          <w:tcPr>
            <w:tcW w:w="885" w:type="dxa"/>
            <w:tcBorders/>
          </w:tcPr>
          <w:p>
            <w:pPr>
              <w:pStyle w:val="TableBody"/>
              <w:keepNext w:val="true"/>
              <w:keepLines/>
              <w:snapToGrid w:val="false"/>
              <w:rPr>
                <w:sz w:val="18"/>
              </w:rPr>
            </w:pPr>
            <w:r>
              <w:rPr>
                <w:sz w:val="18"/>
              </w:rPr>
            </w:r>
          </w:p>
        </w:tc>
        <w:tc>
          <w:tcPr>
            <w:tcW w:w="990" w:type="dxa"/>
            <w:tcBorders/>
          </w:tcPr>
          <w:p>
            <w:pPr>
              <w:pStyle w:val="TableBody"/>
              <w:keepNext w:val="true"/>
              <w:keepLines/>
              <w:jc w:val="center"/>
              <w:rPr>
                <w:sz w:val="18"/>
              </w:rPr>
            </w:pPr>
            <w:r>
              <w:rPr>
                <w:sz w:val="18"/>
              </w:rPr>
              <w:t>133</w:t>
            </w:r>
          </w:p>
        </w:tc>
        <w:tc>
          <w:tcPr>
            <w:tcW w:w="360" w:type="dxa"/>
            <w:tcBorders/>
          </w:tcPr>
          <w:p>
            <w:pPr>
              <w:pStyle w:val="TableBody"/>
              <w:keepNext w:val="true"/>
              <w:keepLines/>
              <w:snapToGrid w:val="false"/>
              <w:jc w:val="center"/>
              <w:rPr>
                <w:sz w:val="18"/>
              </w:rPr>
            </w:pPr>
            <w:r>
              <w:rPr>
                <w:sz w:val="18"/>
              </w:rPr>
            </w:r>
          </w:p>
        </w:tc>
        <w:tc>
          <w:tcPr>
            <w:tcW w:w="1440" w:type="dxa"/>
            <w:tcBorders/>
          </w:tcPr>
          <w:p>
            <w:pPr>
              <w:pStyle w:val="TableBody"/>
              <w:keepNext w:val="true"/>
              <w:keepLines/>
              <w:ind w:start="-18" w:end="0"/>
              <w:rPr>
                <w:sz w:val="18"/>
              </w:rPr>
            </w:pPr>
            <w:r>
              <w:rPr>
                <w:sz w:val="18"/>
              </w:rPr>
              <w:t>Guardia</w:t>
            </w:r>
          </w:p>
        </w:tc>
        <w:tc>
          <w:tcPr>
            <w:tcW w:w="810" w:type="dxa"/>
            <w:tcBorders/>
          </w:tcPr>
          <w:p>
            <w:pPr>
              <w:pStyle w:val="TableBody"/>
              <w:keepNext w:val="true"/>
              <w:keepLines/>
              <w:snapToGrid w:val="false"/>
              <w:ind w:start="-18" w:end="0"/>
              <w:rPr>
                <w:sz w:val="18"/>
              </w:rPr>
            </w:pPr>
            <w:r>
              <w:rPr>
                <w:sz w:val="18"/>
              </w:rPr>
            </w:r>
          </w:p>
        </w:tc>
        <w:tc>
          <w:tcPr>
            <w:tcW w:w="900" w:type="dxa"/>
            <w:tcBorders>
              <w:end w:val="single" w:sz="4" w:space="0" w:color="000000"/>
            </w:tcBorders>
          </w:tcPr>
          <w:p>
            <w:pPr>
              <w:pStyle w:val="TableBody"/>
              <w:keepNext w:val="true"/>
              <w:keepLines/>
              <w:jc w:val="center"/>
              <w:rPr>
                <w:sz w:val="18"/>
              </w:rPr>
            </w:pPr>
            <w:r>
              <w:rPr>
                <w:sz w:val="18"/>
              </w:rPr>
              <w:t>150</w:t>
            </w:r>
          </w:p>
        </w:tc>
      </w:tr>
      <w:tr>
        <w:trPr/>
        <w:tc>
          <w:tcPr>
            <w:tcW w:w="1095" w:type="dxa"/>
            <w:tcBorders>
              <w:start w:val="single" w:sz="4" w:space="0" w:color="000000"/>
            </w:tcBorders>
          </w:tcPr>
          <w:p>
            <w:pPr>
              <w:pStyle w:val="TableBody"/>
              <w:keepNext w:val="true"/>
              <w:keepLines/>
              <w:rPr>
                <w:sz w:val="18"/>
              </w:rPr>
            </w:pPr>
            <w:r>
              <w:rPr>
                <w:sz w:val="18"/>
              </w:rPr>
              <w:t>Brahma</w:t>
            </w:r>
          </w:p>
        </w:tc>
        <w:tc>
          <w:tcPr>
            <w:tcW w:w="885" w:type="dxa"/>
            <w:tcBorders/>
          </w:tcPr>
          <w:p>
            <w:pPr>
              <w:pStyle w:val="TableBody"/>
              <w:keepNext w:val="true"/>
              <w:keepLines/>
              <w:snapToGrid w:val="false"/>
              <w:rPr>
                <w:sz w:val="18"/>
              </w:rPr>
            </w:pPr>
            <w:r>
              <w:rPr>
                <w:sz w:val="18"/>
              </w:rPr>
            </w:r>
          </w:p>
        </w:tc>
        <w:tc>
          <w:tcPr>
            <w:tcW w:w="990" w:type="dxa"/>
            <w:tcBorders/>
          </w:tcPr>
          <w:p>
            <w:pPr>
              <w:pStyle w:val="TableBody"/>
              <w:keepNext w:val="true"/>
              <w:keepLines/>
              <w:jc w:val="center"/>
              <w:rPr>
                <w:sz w:val="18"/>
              </w:rPr>
            </w:pPr>
            <w:r>
              <w:rPr>
                <w:sz w:val="18"/>
              </w:rPr>
              <w:t>100</w:t>
            </w:r>
          </w:p>
        </w:tc>
        <w:tc>
          <w:tcPr>
            <w:tcW w:w="360" w:type="dxa"/>
            <w:tcBorders/>
          </w:tcPr>
          <w:p>
            <w:pPr>
              <w:pStyle w:val="TableBody"/>
              <w:keepNext w:val="true"/>
              <w:keepLines/>
              <w:snapToGrid w:val="false"/>
              <w:jc w:val="center"/>
              <w:rPr>
                <w:sz w:val="18"/>
              </w:rPr>
            </w:pPr>
            <w:r>
              <w:rPr>
                <w:sz w:val="18"/>
              </w:rPr>
            </w:r>
          </w:p>
        </w:tc>
        <w:tc>
          <w:tcPr>
            <w:tcW w:w="1440" w:type="dxa"/>
            <w:tcBorders/>
          </w:tcPr>
          <w:p>
            <w:pPr>
              <w:pStyle w:val="TableBody"/>
              <w:keepNext w:val="true"/>
              <w:keepLines/>
              <w:ind w:start="-18" w:end="0"/>
              <w:rPr>
                <w:sz w:val="18"/>
              </w:rPr>
            </w:pPr>
            <w:r>
              <w:rPr>
                <w:sz w:val="18"/>
              </w:rPr>
              <w:t>Barbara</w:t>
            </w:r>
          </w:p>
        </w:tc>
        <w:tc>
          <w:tcPr>
            <w:tcW w:w="810" w:type="dxa"/>
            <w:tcBorders/>
          </w:tcPr>
          <w:p>
            <w:pPr>
              <w:pStyle w:val="TableBody"/>
              <w:keepNext w:val="true"/>
              <w:keepLines/>
              <w:snapToGrid w:val="false"/>
              <w:ind w:start="-18" w:end="0"/>
              <w:rPr>
                <w:sz w:val="18"/>
              </w:rPr>
            </w:pPr>
            <w:r>
              <w:rPr>
                <w:sz w:val="18"/>
              </w:rPr>
            </w:r>
          </w:p>
        </w:tc>
        <w:tc>
          <w:tcPr>
            <w:tcW w:w="900" w:type="dxa"/>
            <w:tcBorders>
              <w:end w:val="single" w:sz="4" w:space="0" w:color="000000"/>
            </w:tcBorders>
          </w:tcPr>
          <w:p>
            <w:pPr>
              <w:pStyle w:val="TableBody"/>
              <w:keepNext w:val="true"/>
              <w:keepLines/>
              <w:jc w:val="center"/>
              <w:rPr>
                <w:sz w:val="18"/>
              </w:rPr>
            </w:pPr>
            <w:r>
              <w:rPr>
                <w:sz w:val="18"/>
              </w:rPr>
              <w:t>70</w:t>
            </w:r>
          </w:p>
        </w:tc>
      </w:tr>
      <w:tr>
        <w:trPr/>
        <w:tc>
          <w:tcPr>
            <w:tcW w:w="1095" w:type="dxa"/>
            <w:tcBorders>
              <w:start w:val="single" w:sz="4" w:space="0" w:color="000000"/>
            </w:tcBorders>
          </w:tcPr>
          <w:p>
            <w:pPr>
              <w:pStyle w:val="TableBody"/>
              <w:keepNext w:val="true"/>
              <w:keepLines/>
              <w:rPr>
                <w:sz w:val="18"/>
              </w:rPr>
            </w:pPr>
            <w:r>
              <w:rPr>
                <w:sz w:val="18"/>
              </w:rPr>
              <w:t>Sisper</w:t>
            </w:r>
          </w:p>
        </w:tc>
        <w:tc>
          <w:tcPr>
            <w:tcW w:w="885" w:type="dxa"/>
            <w:tcBorders/>
          </w:tcPr>
          <w:p>
            <w:pPr>
              <w:pStyle w:val="TableBody"/>
              <w:keepNext w:val="true"/>
              <w:keepLines/>
              <w:snapToGrid w:val="false"/>
              <w:rPr>
                <w:sz w:val="18"/>
              </w:rPr>
            </w:pPr>
            <w:r>
              <w:rPr>
                <w:sz w:val="18"/>
              </w:rPr>
            </w:r>
          </w:p>
        </w:tc>
        <w:tc>
          <w:tcPr>
            <w:tcW w:w="990" w:type="dxa"/>
            <w:tcBorders/>
          </w:tcPr>
          <w:p>
            <w:pPr>
              <w:pStyle w:val="TableBody"/>
              <w:keepNext w:val="true"/>
              <w:keepLines/>
              <w:jc w:val="center"/>
              <w:rPr>
                <w:sz w:val="18"/>
              </w:rPr>
            </w:pPr>
            <w:r>
              <w:rPr>
                <w:sz w:val="18"/>
              </w:rPr>
              <w:t>67</w:t>
            </w:r>
          </w:p>
        </w:tc>
        <w:tc>
          <w:tcPr>
            <w:tcW w:w="360" w:type="dxa"/>
            <w:tcBorders/>
          </w:tcPr>
          <w:p>
            <w:pPr>
              <w:pStyle w:val="TableBody"/>
              <w:keepNext w:val="true"/>
              <w:keepLines/>
              <w:snapToGrid w:val="false"/>
              <w:jc w:val="center"/>
              <w:rPr>
                <w:sz w:val="18"/>
              </w:rPr>
            </w:pPr>
            <w:r>
              <w:rPr>
                <w:sz w:val="18"/>
              </w:rPr>
            </w:r>
          </w:p>
        </w:tc>
        <w:tc>
          <w:tcPr>
            <w:tcW w:w="1440" w:type="dxa"/>
            <w:tcBorders/>
          </w:tcPr>
          <w:p>
            <w:pPr>
              <w:pStyle w:val="TableBody"/>
              <w:keepNext w:val="true"/>
              <w:keepLines/>
              <w:ind w:start="-18" w:end="0"/>
              <w:rPr>
                <w:sz w:val="18"/>
              </w:rPr>
            </w:pPr>
            <w:r>
              <w:rPr>
                <w:sz w:val="18"/>
              </w:rPr>
              <w:t>Usinas Nacionais</w:t>
            </w:r>
          </w:p>
        </w:tc>
        <w:tc>
          <w:tcPr>
            <w:tcW w:w="810" w:type="dxa"/>
            <w:tcBorders/>
          </w:tcPr>
          <w:p>
            <w:pPr>
              <w:pStyle w:val="TableBody"/>
              <w:keepNext w:val="true"/>
              <w:keepLines/>
              <w:snapToGrid w:val="false"/>
              <w:ind w:start="-18" w:end="0"/>
              <w:rPr>
                <w:sz w:val="18"/>
              </w:rPr>
            </w:pPr>
            <w:r>
              <w:rPr>
                <w:sz w:val="18"/>
              </w:rPr>
            </w:r>
          </w:p>
        </w:tc>
        <w:tc>
          <w:tcPr>
            <w:tcW w:w="900" w:type="dxa"/>
            <w:tcBorders>
              <w:end w:val="single" w:sz="4" w:space="0" w:color="000000"/>
            </w:tcBorders>
          </w:tcPr>
          <w:p>
            <w:pPr>
              <w:pStyle w:val="TableBody"/>
              <w:keepNext w:val="true"/>
              <w:keepLines/>
              <w:jc w:val="center"/>
              <w:rPr>
                <w:sz w:val="18"/>
              </w:rPr>
            </w:pPr>
            <w:r>
              <w:rPr>
                <w:sz w:val="18"/>
              </w:rPr>
              <w:t>70</w:t>
            </w:r>
          </w:p>
        </w:tc>
      </w:tr>
      <w:tr>
        <w:trPr/>
        <w:tc>
          <w:tcPr>
            <w:tcW w:w="1095" w:type="dxa"/>
            <w:tcBorders>
              <w:start w:val="single" w:sz="4" w:space="0" w:color="000000"/>
            </w:tcBorders>
          </w:tcPr>
          <w:p>
            <w:pPr>
              <w:pStyle w:val="TableBody"/>
              <w:keepNext w:val="true"/>
              <w:keepLines/>
              <w:rPr>
                <w:sz w:val="18"/>
              </w:rPr>
            </w:pPr>
            <w:r>
              <w:rPr>
                <w:sz w:val="18"/>
              </w:rPr>
              <w:t>Valesul</w:t>
            </w:r>
          </w:p>
        </w:tc>
        <w:tc>
          <w:tcPr>
            <w:tcW w:w="885" w:type="dxa"/>
            <w:tcBorders/>
          </w:tcPr>
          <w:p>
            <w:pPr>
              <w:pStyle w:val="TableBody"/>
              <w:keepNext w:val="true"/>
              <w:keepLines/>
              <w:snapToGrid w:val="false"/>
              <w:rPr>
                <w:sz w:val="18"/>
              </w:rPr>
            </w:pPr>
            <w:r>
              <w:rPr>
                <w:sz w:val="18"/>
              </w:rPr>
            </w:r>
          </w:p>
        </w:tc>
        <w:tc>
          <w:tcPr>
            <w:tcW w:w="990" w:type="dxa"/>
            <w:tcBorders/>
          </w:tcPr>
          <w:p>
            <w:pPr>
              <w:pStyle w:val="TableBody"/>
              <w:keepNext w:val="true"/>
              <w:keepLines/>
              <w:jc w:val="center"/>
              <w:rPr>
                <w:sz w:val="18"/>
              </w:rPr>
            </w:pPr>
            <w:r>
              <w:rPr>
                <w:sz w:val="18"/>
              </w:rPr>
              <w:t>33</w:t>
            </w:r>
          </w:p>
        </w:tc>
        <w:tc>
          <w:tcPr>
            <w:tcW w:w="360" w:type="dxa"/>
            <w:tcBorders/>
          </w:tcPr>
          <w:p>
            <w:pPr>
              <w:pStyle w:val="TableBody"/>
              <w:keepNext w:val="true"/>
              <w:keepLines/>
              <w:snapToGrid w:val="false"/>
              <w:jc w:val="center"/>
              <w:rPr>
                <w:sz w:val="18"/>
              </w:rPr>
            </w:pPr>
            <w:r>
              <w:rPr>
                <w:sz w:val="18"/>
              </w:rPr>
            </w:r>
          </w:p>
        </w:tc>
        <w:tc>
          <w:tcPr>
            <w:tcW w:w="1440" w:type="dxa"/>
            <w:tcBorders/>
          </w:tcPr>
          <w:p>
            <w:pPr>
              <w:pStyle w:val="TableBody"/>
              <w:keepNext w:val="true"/>
              <w:keepLines/>
              <w:ind w:start="-18" w:end="0"/>
              <w:rPr>
                <w:sz w:val="18"/>
              </w:rPr>
            </w:pPr>
            <w:r>
              <w:rPr>
                <w:sz w:val="18"/>
              </w:rPr>
              <w:t>RN Sal</w:t>
            </w:r>
          </w:p>
        </w:tc>
        <w:tc>
          <w:tcPr>
            <w:tcW w:w="810" w:type="dxa"/>
            <w:tcBorders/>
          </w:tcPr>
          <w:p>
            <w:pPr>
              <w:pStyle w:val="TableBody"/>
              <w:keepNext w:val="true"/>
              <w:keepLines/>
              <w:snapToGrid w:val="false"/>
              <w:ind w:start="-18" w:end="0"/>
              <w:rPr>
                <w:sz w:val="18"/>
              </w:rPr>
            </w:pPr>
            <w:r>
              <w:rPr>
                <w:sz w:val="18"/>
              </w:rPr>
            </w:r>
          </w:p>
        </w:tc>
        <w:tc>
          <w:tcPr>
            <w:tcW w:w="900" w:type="dxa"/>
            <w:tcBorders>
              <w:end w:val="single" w:sz="4" w:space="0" w:color="000000"/>
            </w:tcBorders>
          </w:tcPr>
          <w:p>
            <w:pPr>
              <w:pStyle w:val="TableBody"/>
              <w:keepNext w:val="true"/>
              <w:keepLines/>
              <w:jc w:val="center"/>
              <w:rPr>
                <w:sz w:val="18"/>
              </w:rPr>
            </w:pPr>
            <w:r>
              <w:rPr>
                <w:sz w:val="18"/>
              </w:rPr>
              <w:t>66</w:t>
            </w:r>
          </w:p>
        </w:tc>
      </w:tr>
      <w:tr>
        <w:trPr/>
        <w:tc>
          <w:tcPr>
            <w:tcW w:w="1095" w:type="dxa"/>
            <w:tcBorders>
              <w:start w:val="single" w:sz="4" w:space="0" w:color="000000"/>
            </w:tcBorders>
          </w:tcPr>
          <w:p>
            <w:pPr>
              <w:pStyle w:val="TableBody"/>
              <w:keepNext w:val="true"/>
              <w:keepLines/>
              <w:rPr>
                <w:sz w:val="18"/>
              </w:rPr>
            </w:pPr>
            <w:r>
              <w:rPr>
                <w:sz w:val="18"/>
              </w:rPr>
              <w:t>Antarctica</w:t>
            </w:r>
          </w:p>
        </w:tc>
        <w:tc>
          <w:tcPr>
            <w:tcW w:w="885" w:type="dxa"/>
            <w:tcBorders/>
          </w:tcPr>
          <w:p>
            <w:pPr>
              <w:pStyle w:val="TableBody"/>
              <w:keepNext w:val="true"/>
              <w:keepLines/>
              <w:snapToGrid w:val="false"/>
              <w:rPr>
                <w:sz w:val="18"/>
              </w:rPr>
            </w:pPr>
            <w:r>
              <w:rPr>
                <w:sz w:val="18"/>
              </w:rPr>
            </w:r>
          </w:p>
        </w:tc>
        <w:tc>
          <w:tcPr>
            <w:tcW w:w="990" w:type="dxa"/>
            <w:tcBorders/>
          </w:tcPr>
          <w:p>
            <w:pPr>
              <w:pStyle w:val="TableBody"/>
              <w:keepNext w:val="true"/>
              <w:keepLines/>
              <w:jc w:val="center"/>
              <w:rPr>
                <w:sz w:val="18"/>
              </w:rPr>
            </w:pPr>
            <w:r>
              <w:rPr>
                <w:sz w:val="18"/>
              </w:rPr>
              <w:t>33</w:t>
            </w:r>
          </w:p>
        </w:tc>
        <w:tc>
          <w:tcPr>
            <w:tcW w:w="360" w:type="dxa"/>
            <w:tcBorders/>
          </w:tcPr>
          <w:p>
            <w:pPr>
              <w:pStyle w:val="TableBody"/>
              <w:keepNext w:val="true"/>
              <w:keepLines/>
              <w:snapToGrid w:val="false"/>
              <w:jc w:val="center"/>
              <w:rPr>
                <w:sz w:val="18"/>
              </w:rPr>
            </w:pPr>
            <w:r>
              <w:rPr>
                <w:sz w:val="18"/>
              </w:rPr>
            </w:r>
          </w:p>
        </w:tc>
        <w:tc>
          <w:tcPr>
            <w:tcW w:w="1440" w:type="dxa"/>
            <w:tcBorders/>
          </w:tcPr>
          <w:p>
            <w:pPr>
              <w:pStyle w:val="TableBody"/>
              <w:keepNext w:val="true"/>
              <w:keepLines/>
              <w:ind w:start="-18" w:end="0"/>
              <w:rPr>
                <w:sz w:val="18"/>
              </w:rPr>
            </w:pPr>
            <w:r>
              <w:rPr>
                <w:sz w:val="18"/>
              </w:rPr>
              <w:t>Pirahy</w:t>
            </w:r>
          </w:p>
        </w:tc>
        <w:tc>
          <w:tcPr>
            <w:tcW w:w="810" w:type="dxa"/>
            <w:tcBorders/>
          </w:tcPr>
          <w:p>
            <w:pPr>
              <w:pStyle w:val="TableBody"/>
              <w:keepNext w:val="true"/>
              <w:keepLines/>
              <w:snapToGrid w:val="false"/>
              <w:ind w:start="-18" w:end="0"/>
              <w:rPr>
                <w:sz w:val="18"/>
              </w:rPr>
            </w:pPr>
            <w:r>
              <w:rPr>
                <w:sz w:val="18"/>
              </w:rPr>
            </w:r>
          </w:p>
        </w:tc>
        <w:tc>
          <w:tcPr>
            <w:tcW w:w="900" w:type="dxa"/>
            <w:tcBorders>
              <w:end w:val="single" w:sz="4" w:space="0" w:color="000000"/>
            </w:tcBorders>
          </w:tcPr>
          <w:p>
            <w:pPr>
              <w:pStyle w:val="TableBody"/>
              <w:keepNext w:val="true"/>
              <w:keepLines/>
              <w:jc w:val="center"/>
              <w:rPr>
                <w:sz w:val="18"/>
              </w:rPr>
            </w:pPr>
            <w:r>
              <w:rPr>
                <w:sz w:val="18"/>
              </w:rPr>
              <w:t>62</w:t>
            </w:r>
          </w:p>
        </w:tc>
      </w:tr>
      <w:tr>
        <w:trPr/>
        <w:tc>
          <w:tcPr>
            <w:tcW w:w="1095" w:type="dxa"/>
            <w:tcBorders>
              <w:start w:val="single" w:sz="4" w:space="0" w:color="000000"/>
            </w:tcBorders>
          </w:tcPr>
          <w:p>
            <w:pPr>
              <w:pStyle w:val="TableBody"/>
              <w:keepNext w:val="true"/>
              <w:keepLines/>
              <w:rPr>
                <w:sz w:val="18"/>
              </w:rPr>
            </w:pPr>
            <w:r>
              <w:rPr>
                <w:sz w:val="18"/>
              </w:rPr>
              <w:t>Bayer</w:t>
            </w:r>
          </w:p>
        </w:tc>
        <w:tc>
          <w:tcPr>
            <w:tcW w:w="885" w:type="dxa"/>
            <w:tcBorders/>
          </w:tcPr>
          <w:p>
            <w:pPr>
              <w:pStyle w:val="TableBody"/>
              <w:keepNext w:val="true"/>
              <w:keepLines/>
              <w:snapToGrid w:val="false"/>
              <w:rPr>
                <w:sz w:val="18"/>
              </w:rPr>
            </w:pPr>
            <w:r>
              <w:rPr>
                <w:sz w:val="18"/>
              </w:rPr>
            </w:r>
          </w:p>
        </w:tc>
        <w:tc>
          <w:tcPr>
            <w:tcW w:w="990" w:type="dxa"/>
            <w:tcBorders/>
          </w:tcPr>
          <w:p>
            <w:pPr>
              <w:pStyle w:val="TableBody"/>
              <w:keepNext w:val="true"/>
              <w:keepLines/>
              <w:jc w:val="center"/>
              <w:rPr>
                <w:sz w:val="18"/>
              </w:rPr>
            </w:pPr>
            <w:r>
              <w:rPr>
                <w:sz w:val="18"/>
              </w:rPr>
              <w:t>33</w:t>
            </w:r>
          </w:p>
        </w:tc>
        <w:tc>
          <w:tcPr>
            <w:tcW w:w="360" w:type="dxa"/>
            <w:tcBorders/>
          </w:tcPr>
          <w:p>
            <w:pPr>
              <w:pStyle w:val="TableBody"/>
              <w:keepNext w:val="true"/>
              <w:keepLines/>
              <w:snapToGrid w:val="false"/>
              <w:jc w:val="center"/>
              <w:rPr>
                <w:sz w:val="18"/>
              </w:rPr>
            </w:pPr>
            <w:r>
              <w:rPr>
                <w:sz w:val="18"/>
              </w:rPr>
            </w:r>
          </w:p>
        </w:tc>
        <w:tc>
          <w:tcPr>
            <w:tcW w:w="1440" w:type="dxa"/>
            <w:tcBorders/>
          </w:tcPr>
          <w:p>
            <w:pPr>
              <w:pStyle w:val="TableBody"/>
              <w:keepNext w:val="true"/>
              <w:keepLines/>
              <w:ind w:start="-18" w:end="0"/>
              <w:rPr>
                <w:sz w:val="18"/>
              </w:rPr>
            </w:pPr>
            <w:r>
              <w:rPr>
                <w:sz w:val="18"/>
              </w:rPr>
              <w:t>Perinas</w:t>
            </w:r>
          </w:p>
        </w:tc>
        <w:tc>
          <w:tcPr>
            <w:tcW w:w="810" w:type="dxa"/>
            <w:tcBorders/>
          </w:tcPr>
          <w:p>
            <w:pPr>
              <w:pStyle w:val="TableBody"/>
              <w:keepNext w:val="true"/>
              <w:keepLines/>
              <w:snapToGrid w:val="false"/>
              <w:ind w:start="-18" w:end="0"/>
              <w:rPr>
                <w:sz w:val="18"/>
              </w:rPr>
            </w:pPr>
            <w:r>
              <w:rPr>
                <w:sz w:val="18"/>
              </w:rPr>
            </w:r>
          </w:p>
        </w:tc>
        <w:tc>
          <w:tcPr>
            <w:tcW w:w="900" w:type="dxa"/>
            <w:tcBorders>
              <w:end w:val="single" w:sz="4" w:space="0" w:color="000000"/>
            </w:tcBorders>
          </w:tcPr>
          <w:p>
            <w:pPr>
              <w:pStyle w:val="TableBody"/>
              <w:keepNext w:val="true"/>
              <w:keepLines/>
              <w:jc w:val="center"/>
              <w:rPr>
                <w:sz w:val="18"/>
              </w:rPr>
            </w:pPr>
            <w:r>
              <w:rPr>
                <w:sz w:val="18"/>
              </w:rPr>
              <w:t>30</w:t>
            </w:r>
          </w:p>
        </w:tc>
      </w:tr>
      <w:tr>
        <w:trPr/>
        <w:tc>
          <w:tcPr>
            <w:tcW w:w="1095" w:type="dxa"/>
            <w:tcBorders>
              <w:start w:val="single" w:sz="4" w:space="0" w:color="000000"/>
              <w:bottom w:val="single" w:sz="4" w:space="0" w:color="000000"/>
            </w:tcBorders>
          </w:tcPr>
          <w:p>
            <w:pPr>
              <w:pStyle w:val="TableBody"/>
              <w:keepNext w:val="true"/>
              <w:keepLines/>
              <w:rPr>
                <w:sz w:val="18"/>
              </w:rPr>
            </w:pPr>
            <w:r>
              <w:rPr>
                <w:sz w:val="18"/>
              </w:rPr>
              <w:t>Vitrofama</w:t>
            </w:r>
          </w:p>
        </w:tc>
        <w:tc>
          <w:tcPr>
            <w:tcW w:w="885" w:type="dxa"/>
            <w:tcBorders>
              <w:bottom w:val="single" w:sz="4" w:space="0" w:color="000000"/>
            </w:tcBorders>
          </w:tcPr>
          <w:p>
            <w:pPr>
              <w:pStyle w:val="TableBody"/>
              <w:keepNext w:val="true"/>
              <w:keepLines/>
              <w:snapToGrid w:val="false"/>
              <w:rPr>
                <w:sz w:val="18"/>
              </w:rPr>
            </w:pPr>
            <w:r>
              <w:rPr>
                <w:sz w:val="18"/>
              </w:rPr>
            </w:r>
          </w:p>
        </w:tc>
        <w:tc>
          <w:tcPr>
            <w:tcW w:w="990" w:type="dxa"/>
            <w:tcBorders>
              <w:bottom w:val="single" w:sz="4" w:space="0" w:color="000000"/>
            </w:tcBorders>
          </w:tcPr>
          <w:p>
            <w:pPr>
              <w:pStyle w:val="TableBody"/>
              <w:keepNext w:val="true"/>
              <w:keepLines/>
              <w:jc w:val="center"/>
              <w:rPr>
                <w:sz w:val="18"/>
              </w:rPr>
            </w:pPr>
            <w:r>
              <w:rPr>
                <w:sz w:val="18"/>
              </w:rPr>
              <w:t>33</w:t>
            </w:r>
          </w:p>
        </w:tc>
        <w:tc>
          <w:tcPr>
            <w:tcW w:w="360" w:type="dxa"/>
            <w:tcBorders>
              <w:bottom w:val="single" w:sz="4" w:space="0" w:color="000000"/>
            </w:tcBorders>
          </w:tcPr>
          <w:p>
            <w:pPr>
              <w:pStyle w:val="TableBody"/>
              <w:keepNext w:val="true"/>
              <w:keepLines/>
              <w:snapToGrid w:val="false"/>
              <w:jc w:val="center"/>
              <w:rPr>
                <w:sz w:val="18"/>
              </w:rPr>
            </w:pPr>
            <w:r>
              <w:rPr>
                <w:sz w:val="18"/>
              </w:rPr>
            </w:r>
          </w:p>
        </w:tc>
        <w:tc>
          <w:tcPr>
            <w:tcW w:w="1440" w:type="dxa"/>
            <w:tcBorders>
              <w:bottom w:val="single" w:sz="4" w:space="0" w:color="000000"/>
            </w:tcBorders>
          </w:tcPr>
          <w:p>
            <w:pPr>
              <w:pStyle w:val="TableBody"/>
              <w:keepNext w:val="true"/>
              <w:keepLines/>
              <w:ind w:start="-18" w:end="0"/>
              <w:rPr>
                <w:sz w:val="18"/>
              </w:rPr>
            </w:pPr>
            <w:r>
              <w:rPr>
                <w:sz w:val="18"/>
              </w:rPr>
              <w:t>Dupont</w:t>
            </w:r>
          </w:p>
        </w:tc>
        <w:tc>
          <w:tcPr>
            <w:tcW w:w="810" w:type="dxa"/>
            <w:tcBorders>
              <w:bottom w:val="single" w:sz="4" w:space="0" w:color="000000"/>
            </w:tcBorders>
          </w:tcPr>
          <w:p>
            <w:pPr>
              <w:pStyle w:val="TableBody"/>
              <w:keepNext w:val="true"/>
              <w:keepLines/>
              <w:snapToGrid w:val="false"/>
              <w:ind w:start="-18" w:end="0"/>
              <w:rPr>
                <w:sz w:val="18"/>
              </w:rPr>
            </w:pPr>
            <w:r>
              <w:rPr>
                <w:sz w:val="18"/>
              </w:rPr>
            </w:r>
          </w:p>
        </w:tc>
        <w:tc>
          <w:tcPr>
            <w:tcW w:w="900" w:type="dxa"/>
            <w:tcBorders>
              <w:bottom w:val="single" w:sz="4" w:space="0" w:color="000000"/>
              <w:end w:val="single" w:sz="4" w:space="0" w:color="000000"/>
            </w:tcBorders>
          </w:tcPr>
          <w:p>
            <w:pPr>
              <w:pStyle w:val="TableBody"/>
              <w:keepNext w:val="true"/>
              <w:keepLines/>
              <w:jc w:val="center"/>
              <w:rPr>
                <w:sz w:val="18"/>
              </w:rPr>
            </w:pPr>
            <w:r>
              <w:rPr>
                <w:sz w:val="18"/>
              </w:rPr>
              <w:t>10</w:t>
            </w:r>
          </w:p>
        </w:tc>
      </w:tr>
    </w:tbl>
    <w:p>
      <w:pPr>
        <w:pStyle w:val="BLKmed1st1"/>
        <w:rPr/>
      </w:pPr>
      <w:r>
        <w:rPr/>
      </w:r>
    </w:p>
    <w:p>
      <w:pPr>
        <w:pStyle w:val="BLKmed1st1"/>
        <w:rPr/>
      </w:pPr>
      <w:r>
        <w:rPr/>
        <w:t>As a result of a planned acceleration in the pace of conversions and addition of industrial customers, a significant increase in demand is expected in 2000.  CEG is also in final gas supply negotiations with five major power generation projects as shown in the table below:</w:t>
      </w:r>
    </w:p>
    <w:tbl>
      <w:tblPr>
        <w:tblW w:w="6480" w:type="dxa"/>
        <w:jc w:val="start"/>
        <w:tblInd w:w="108" w:type="dxa"/>
        <w:tblLayout w:type="fixed"/>
        <w:tblCellMar>
          <w:top w:w="0" w:type="dxa"/>
          <w:start w:w="108" w:type="dxa"/>
          <w:bottom w:w="0" w:type="dxa"/>
          <w:end w:w="108" w:type="dxa"/>
        </w:tblCellMar>
      </w:tblPr>
      <w:tblGrid>
        <w:gridCol w:w="540"/>
        <w:gridCol w:w="693"/>
        <w:gridCol w:w="2160"/>
        <w:gridCol w:w="1029"/>
        <w:gridCol w:w="1068"/>
        <w:gridCol w:w="990"/>
      </w:tblGrid>
      <w:tr>
        <w:trPr>
          <w:tblHeader w:val="true"/>
        </w:trPr>
        <w:tc>
          <w:tcPr>
            <w:tcW w:w="1233" w:type="dxa"/>
            <w:gridSpan w:val="2"/>
            <w:tcBorders>
              <w:top w:val="single" w:sz="4" w:space="0" w:color="000000"/>
              <w:start w:val="single" w:sz="4" w:space="0" w:color="000000"/>
              <w:bottom w:val="single" w:sz="4" w:space="0" w:color="000000"/>
            </w:tcBorders>
            <w:shd w:fill="FFFF00" w:val="clear"/>
          </w:tcPr>
          <w:p>
            <w:pPr>
              <w:pStyle w:val="TableBody"/>
              <w:keepNext w:val="true"/>
              <w:rPr>
                <w:b/>
              </w:rPr>
            </w:pPr>
            <w:r>
              <w:rPr>
                <w:b/>
              </w:rPr>
              <w:t>Project</w:t>
            </w:r>
          </w:p>
        </w:tc>
        <w:tc>
          <w:tcPr>
            <w:tcW w:w="2160" w:type="dxa"/>
            <w:tcBorders>
              <w:top w:val="single" w:sz="4" w:space="0" w:color="000000"/>
              <w:bottom w:val="single" w:sz="4" w:space="0" w:color="000000"/>
            </w:tcBorders>
            <w:shd w:fill="FFFF00" w:val="clear"/>
          </w:tcPr>
          <w:p>
            <w:pPr>
              <w:pStyle w:val="TableHead"/>
              <w:pBdr>
                <w:bottom w:val="nil"/>
              </w:pBdr>
              <w:rPr/>
            </w:pPr>
            <w:r>
              <w:rPr/>
              <w:t>Sponsors</w:t>
            </w:r>
          </w:p>
        </w:tc>
        <w:tc>
          <w:tcPr>
            <w:tcW w:w="1029" w:type="dxa"/>
            <w:tcBorders>
              <w:top w:val="single" w:sz="4" w:space="0" w:color="000000"/>
              <w:bottom w:val="single" w:sz="4" w:space="0" w:color="000000"/>
            </w:tcBorders>
            <w:shd w:fill="FFFF00" w:val="clear"/>
          </w:tcPr>
          <w:p>
            <w:pPr>
              <w:pStyle w:val="TableHead"/>
              <w:pBdr>
                <w:bottom w:val="nil"/>
              </w:pBdr>
              <w:rPr/>
            </w:pPr>
            <w:r>
              <w:rPr/>
              <w:t>Capacity (MW)</w:t>
            </w:r>
          </w:p>
        </w:tc>
        <w:tc>
          <w:tcPr>
            <w:tcW w:w="1068" w:type="dxa"/>
            <w:tcBorders>
              <w:top w:val="single" w:sz="4" w:space="0" w:color="000000"/>
              <w:bottom w:val="single" w:sz="4" w:space="0" w:color="000000"/>
            </w:tcBorders>
            <w:shd w:fill="FFFF00" w:val="clear"/>
          </w:tcPr>
          <w:p>
            <w:pPr>
              <w:pStyle w:val="TableHead"/>
              <w:pBdr>
                <w:bottom w:val="nil"/>
              </w:pBdr>
              <w:rPr/>
            </w:pPr>
            <w:r>
              <w:rPr/>
              <w:t>Gas Consumption (Mcmd)</w:t>
            </w:r>
          </w:p>
        </w:tc>
        <w:tc>
          <w:tcPr>
            <w:tcW w:w="990" w:type="dxa"/>
            <w:tcBorders>
              <w:top w:val="single" w:sz="4" w:space="0" w:color="000000"/>
              <w:bottom w:val="single" w:sz="4" w:space="0" w:color="000000"/>
              <w:end w:val="single" w:sz="4" w:space="0" w:color="000000"/>
            </w:tcBorders>
            <w:shd w:fill="FFFF00" w:val="clear"/>
          </w:tcPr>
          <w:p>
            <w:pPr>
              <w:pStyle w:val="TableHead"/>
              <w:pBdr>
                <w:bottom w:val="nil"/>
              </w:pBdr>
              <w:rPr/>
            </w:pPr>
            <w:r>
              <w:rPr/>
              <w:t>Start-up</w:t>
            </w:r>
          </w:p>
        </w:tc>
      </w:tr>
      <w:tr>
        <w:trPr>
          <w:tblHeader w:val="true"/>
        </w:trPr>
        <w:tc>
          <w:tcPr>
            <w:tcW w:w="1233" w:type="dxa"/>
            <w:gridSpan w:val="2"/>
            <w:tcBorders>
              <w:start w:val="single" w:sz="4" w:space="0" w:color="000000"/>
            </w:tcBorders>
          </w:tcPr>
          <w:p>
            <w:pPr>
              <w:pStyle w:val="TableSpacer"/>
              <w:keepNext w:val="true"/>
              <w:snapToGrid w:val="false"/>
              <w:spacing w:lineRule="auto" w:line="240"/>
              <w:jc w:val="both"/>
              <w:rPr/>
            </w:pPr>
            <w:r>
              <w:rPr/>
            </w:r>
          </w:p>
        </w:tc>
        <w:tc>
          <w:tcPr>
            <w:tcW w:w="2160" w:type="dxa"/>
            <w:tcBorders/>
          </w:tcPr>
          <w:p>
            <w:pPr>
              <w:pStyle w:val="TableSpacer"/>
              <w:keepNext w:val="true"/>
              <w:snapToGrid w:val="false"/>
              <w:spacing w:lineRule="auto" w:line="240"/>
              <w:jc w:val="both"/>
              <w:rPr/>
            </w:pPr>
            <w:r>
              <w:rPr/>
            </w:r>
          </w:p>
        </w:tc>
        <w:tc>
          <w:tcPr>
            <w:tcW w:w="1029" w:type="dxa"/>
            <w:tcBorders/>
          </w:tcPr>
          <w:p>
            <w:pPr>
              <w:pStyle w:val="TableSpacer"/>
              <w:keepNext w:val="true"/>
              <w:snapToGrid w:val="false"/>
              <w:spacing w:lineRule="auto" w:line="240"/>
              <w:jc w:val="both"/>
              <w:rPr/>
            </w:pPr>
            <w:r>
              <w:rPr/>
            </w:r>
          </w:p>
        </w:tc>
        <w:tc>
          <w:tcPr>
            <w:tcW w:w="1068" w:type="dxa"/>
            <w:tcBorders/>
          </w:tcPr>
          <w:p>
            <w:pPr>
              <w:pStyle w:val="TableSpacer"/>
              <w:keepNext w:val="true"/>
              <w:snapToGrid w:val="false"/>
              <w:spacing w:lineRule="auto" w:line="240"/>
              <w:jc w:val="both"/>
              <w:rPr/>
            </w:pPr>
            <w:r>
              <w:rPr/>
            </w:r>
          </w:p>
        </w:tc>
        <w:tc>
          <w:tcPr>
            <w:tcW w:w="990" w:type="dxa"/>
            <w:tcBorders>
              <w:end w:val="single" w:sz="4" w:space="0" w:color="000000"/>
            </w:tcBorders>
          </w:tcPr>
          <w:p>
            <w:pPr>
              <w:pStyle w:val="TableSpacer"/>
              <w:keepNext w:val="true"/>
              <w:snapToGrid w:val="false"/>
              <w:spacing w:lineRule="auto" w:line="240"/>
              <w:jc w:val="both"/>
              <w:rPr/>
            </w:pPr>
            <w:r>
              <w:rPr/>
            </w:r>
          </w:p>
        </w:tc>
      </w:tr>
      <w:tr>
        <w:trPr/>
        <w:tc>
          <w:tcPr>
            <w:tcW w:w="1233" w:type="dxa"/>
            <w:gridSpan w:val="2"/>
            <w:tcBorders>
              <w:start w:val="single" w:sz="4" w:space="0" w:color="000000"/>
            </w:tcBorders>
          </w:tcPr>
          <w:p>
            <w:pPr>
              <w:pStyle w:val="TableBody"/>
              <w:keepNext w:val="true"/>
              <w:jc w:val="both"/>
              <w:rPr/>
            </w:pPr>
            <w:r>
              <w:rPr/>
              <w:t>Norte flurninense</w:t>
            </w:r>
          </w:p>
        </w:tc>
        <w:tc>
          <w:tcPr>
            <w:tcW w:w="2160" w:type="dxa"/>
            <w:tcBorders/>
          </w:tcPr>
          <w:p>
            <w:pPr>
              <w:pStyle w:val="TableBody"/>
              <w:keepNext w:val="true"/>
              <w:jc w:val="both"/>
              <w:rPr/>
            </w:pPr>
            <w:r>
              <w:rPr/>
              <w:t>Electobras/Petrobras/Light/CERJ</w:t>
            </w:r>
          </w:p>
        </w:tc>
        <w:tc>
          <w:tcPr>
            <w:tcW w:w="1029" w:type="dxa"/>
            <w:tcBorders/>
          </w:tcPr>
          <w:p>
            <w:pPr>
              <w:pStyle w:val="TableBody"/>
              <w:keepNext w:val="true"/>
              <w:jc w:val="center"/>
              <w:rPr/>
            </w:pPr>
            <w:r>
              <w:rPr/>
              <w:t>750</w:t>
            </w:r>
          </w:p>
        </w:tc>
        <w:tc>
          <w:tcPr>
            <w:tcW w:w="1068" w:type="dxa"/>
            <w:tcBorders/>
          </w:tcPr>
          <w:p>
            <w:pPr>
              <w:pStyle w:val="TableBody"/>
              <w:keepNext w:val="true"/>
              <w:jc w:val="center"/>
              <w:rPr/>
            </w:pPr>
            <w:r>
              <w:rPr/>
              <w:t>3.6</w:t>
            </w:r>
          </w:p>
        </w:tc>
        <w:tc>
          <w:tcPr>
            <w:tcW w:w="990" w:type="dxa"/>
            <w:tcBorders>
              <w:end w:val="single" w:sz="4" w:space="0" w:color="000000"/>
            </w:tcBorders>
          </w:tcPr>
          <w:p>
            <w:pPr>
              <w:pStyle w:val="TableBody"/>
              <w:keepNext w:val="true"/>
              <w:jc w:val="center"/>
              <w:rPr/>
            </w:pPr>
            <w:r>
              <w:rPr/>
              <w:t>2003</w:t>
            </w:r>
          </w:p>
        </w:tc>
      </w:tr>
      <w:tr>
        <w:trPr/>
        <w:tc>
          <w:tcPr>
            <w:tcW w:w="1233" w:type="dxa"/>
            <w:gridSpan w:val="2"/>
            <w:tcBorders>
              <w:start w:val="single" w:sz="4" w:space="0" w:color="000000"/>
            </w:tcBorders>
          </w:tcPr>
          <w:p>
            <w:pPr>
              <w:pStyle w:val="TableSpacer"/>
              <w:spacing w:lineRule="auto" w:line="240"/>
              <w:jc w:val="both"/>
              <w:rPr/>
            </w:pPr>
            <w:r>
              <w:rPr/>
              <w:t xml:space="preserve">Riogen </w:t>
            </w:r>
            <w:r>
              <w:rPr>
                <w:vertAlign w:val="superscript"/>
              </w:rPr>
              <w:t>(1)</w:t>
            </w:r>
          </w:p>
        </w:tc>
        <w:tc>
          <w:tcPr>
            <w:tcW w:w="2160" w:type="dxa"/>
            <w:tcBorders/>
          </w:tcPr>
          <w:p>
            <w:pPr>
              <w:pStyle w:val="TableSpacer"/>
              <w:spacing w:lineRule="auto" w:line="240"/>
              <w:jc w:val="both"/>
              <w:rPr/>
            </w:pPr>
            <w:r>
              <w:rPr/>
              <w:t>Enron</w:t>
            </w:r>
          </w:p>
        </w:tc>
        <w:tc>
          <w:tcPr>
            <w:tcW w:w="1029" w:type="dxa"/>
            <w:tcBorders/>
          </w:tcPr>
          <w:p>
            <w:pPr>
              <w:pStyle w:val="TableSpacer"/>
              <w:spacing w:lineRule="auto" w:line="240"/>
              <w:jc w:val="center"/>
              <w:rPr/>
            </w:pPr>
            <w:r>
              <w:rPr/>
              <w:t>500</w:t>
            </w:r>
          </w:p>
        </w:tc>
        <w:tc>
          <w:tcPr>
            <w:tcW w:w="1068" w:type="dxa"/>
            <w:tcBorders/>
          </w:tcPr>
          <w:p>
            <w:pPr>
              <w:pStyle w:val="TableSpacer"/>
              <w:spacing w:lineRule="auto" w:line="240"/>
              <w:jc w:val="center"/>
              <w:rPr/>
            </w:pPr>
            <w:r>
              <w:rPr/>
              <w:t>2.4</w:t>
            </w:r>
          </w:p>
        </w:tc>
        <w:tc>
          <w:tcPr>
            <w:tcW w:w="990" w:type="dxa"/>
            <w:tcBorders>
              <w:end w:val="single" w:sz="4" w:space="0" w:color="000000"/>
            </w:tcBorders>
          </w:tcPr>
          <w:p>
            <w:pPr>
              <w:pStyle w:val="TableSpacer"/>
              <w:spacing w:lineRule="auto" w:line="240"/>
              <w:jc w:val="center"/>
              <w:rPr/>
            </w:pPr>
            <w:r>
              <w:rPr/>
              <w:t>2003</w:t>
            </w:r>
          </w:p>
        </w:tc>
      </w:tr>
      <w:tr>
        <w:trPr/>
        <w:tc>
          <w:tcPr>
            <w:tcW w:w="1233" w:type="dxa"/>
            <w:gridSpan w:val="2"/>
            <w:tcBorders>
              <w:start w:val="single" w:sz="4" w:space="0" w:color="000000"/>
            </w:tcBorders>
          </w:tcPr>
          <w:p>
            <w:pPr>
              <w:pStyle w:val="TableSpacer"/>
              <w:spacing w:lineRule="auto" w:line="240"/>
              <w:jc w:val="both"/>
              <w:rPr/>
            </w:pPr>
            <w:r>
              <w:rPr/>
              <w:t xml:space="preserve">Terno Rio </w:t>
            </w:r>
            <w:r>
              <w:rPr>
                <w:vertAlign w:val="superscript"/>
              </w:rPr>
              <w:t>(2)</w:t>
            </w:r>
          </w:p>
        </w:tc>
        <w:tc>
          <w:tcPr>
            <w:tcW w:w="2160" w:type="dxa"/>
            <w:tcBorders/>
          </w:tcPr>
          <w:p>
            <w:pPr>
              <w:pStyle w:val="TableSpacer"/>
              <w:snapToGrid w:val="false"/>
              <w:spacing w:lineRule="auto" w:line="240"/>
              <w:jc w:val="both"/>
              <w:rPr/>
            </w:pPr>
            <w:r>
              <w:rPr/>
            </w:r>
          </w:p>
        </w:tc>
        <w:tc>
          <w:tcPr>
            <w:tcW w:w="1029" w:type="dxa"/>
            <w:tcBorders/>
          </w:tcPr>
          <w:p>
            <w:pPr>
              <w:pStyle w:val="TableSpacer"/>
              <w:spacing w:lineRule="auto" w:line="240"/>
              <w:jc w:val="center"/>
              <w:rPr/>
            </w:pPr>
            <w:r>
              <w:rPr/>
              <w:t>265</w:t>
            </w:r>
          </w:p>
        </w:tc>
        <w:tc>
          <w:tcPr>
            <w:tcW w:w="1068" w:type="dxa"/>
            <w:tcBorders/>
          </w:tcPr>
          <w:p>
            <w:pPr>
              <w:pStyle w:val="TableSpacer"/>
              <w:spacing w:lineRule="auto" w:line="240"/>
              <w:jc w:val="center"/>
              <w:rPr/>
            </w:pPr>
            <w:r>
              <w:rPr/>
              <w:t>1.3</w:t>
            </w:r>
          </w:p>
        </w:tc>
        <w:tc>
          <w:tcPr>
            <w:tcW w:w="990" w:type="dxa"/>
            <w:tcBorders>
              <w:end w:val="single" w:sz="4" w:space="0" w:color="000000"/>
            </w:tcBorders>
          </w:tcPr>
          <w:p>
            <w:pPr>
              <w:pStyle w:val="TableSpacer"/>
              <w:spacing w:lineRule="auto" w:line="240"/>
              <w:jc w:val="center"/>
              <w:rPr/>
            </w:pPr>
            <w:r>
              <w:rPr/>
              <w:t>2002</w:t>
            </w:r>
          </w:p>
        </w:tc>
      </w:tr>
      <w:tr>
        <w:trPr/>
        <w:tc>
          <w:tcPr>
            <w:tcW w:w="1233" w:type="dxa"/>
            <w:gridSpan w:val="2"/>
            <w:tcBorders>
              <w:start w:val="single" w:sz="4" w:space="0" w:color="000000"/>
            </w:tcBorders>
          </w:tcPr>
          <w:p>
            <w:pPr>
              <w:pStyle w:val="TableBody"/>
              <w:jc w:val="both"/>
              <w:rPr/>
            </w:pPr>
            <w:r>
              <w:rPr/>
              <w:t>Cabiunas</w:t>
            </w:r>
          </w:p>
        </w:tc>
        <w:tc>
          <w:tcPr>
            <w:tcW w:w="2160" w:type="dxa"/>
            <w:tcBorders/>
          </w:tcPr>
          <w:p>
            <w:pPr>
              <w:pStyle w:val="TableBody"/>
              <w:snapToGrid w:val="false"/>
              <w:jc w:val="both"/>
              <w:rPr/>
            </w:pPr>
            <w:r>
              <w:rPr/>
            </w:r>
          </w:p>
        </w:tc>
        <w:tc>
          <w:tcPr>
            <w:tcW w:w="1029" w:type="dxa"/>
            <w:tcBorders/>
          </w:tcPr>
          <w:p>
            <w:pPr>
              <w:pStyle w:val="TableBody"/>
              <w:jc w:val="center"/>
              <w:rPr/>
            </w:pPr>
            <w:r>
              <w:rPr/>
              <w:t>450</w:t>
            </w:r>
          </w:p>
        </w:tc>
        <w:tc>
          <w:tcPr>
            <w:tcW w:w="1068" w:type="dxa"/>
            <w:tcBorders/>
          </w:tcPr>
          <w:p>
            <w:pPr>
              <w:pStyle w:val="TableBody"/>
              <w:jc w:val="center"/>
              <w:rPr/>
            </w:pPr>
            <w:r>
              <w:rPr/>
              <w:t>2.5</w:t>
            </w:r>
          </w:p>
        </w:tc>
        <w:tc>
          <w:tcPr>
            <w:tcW w:w="990" w:type="dxa"/>
            <w:tcBorders>
              <w:end w:val="single" w:sz="4" w:space="0" w:color="000000"/>
            </w:tcBorders>
          </w:tcPr>
          <w:p>
            <w:pPr>
              <w:pStyle w:val="TableBody"/>
              <w:jc w:val="center"/>
              <w:rPr/>
            </w:pPr>
            <w:r>
              <w:rPr/>
              <w:t>2003</w:t>
            </w:r>
          </w:p>
        </w:tc>
      </w:tr>
      <w:tr>
        <w:trPr/>
        <w:tc>
          <w:tcPr>
            <w:tcW w:w="1233" w:type="dxa"/>
            <w:gridSpan w:val="2"/>
            <w:tcBorders>
              <w:start w:val="single" w:sz="4" w:space="0" w:color="000000"/>
            </w:tcBorders>
          </w:tcPr>
          <w:p>
            <w:pPr>
              <w:pStyle w:val="TableSpacer"/>
              <w:spacing w:lineRule="auto" w:line="240"/>
              <w:jc w:val="both"/>
              <w:rPr/>
            </w:pPr>
            <w:r>
              <w:rPr/>
              <w:t xml:space="preserve">Santa Cruz </w:t>
            </w:r>
            <w:r>
              <w:rPr>
                <w:vertAlign w:val="superscript"/>
              </w:rPr>
              <w:t>(4)</w:t>
            </w:r>
          </w:p>
        </w:tc>
        <w:tc>
          <w:tcPr>
            <w:tcW w:w="2160" w:type="dxa"/>
            <w:tcBorders/>
          </w:tcPr>
          <w:p>
            <w:pPr>
              <w:pStyle w:val="TableBody"/>
              <w:snapToGrid w:val="false"/>
              <w:jc w:val="both"/>
              <w:rPr/>
            </w:pPr>
            <w:r>
              <w:rPr/>
            </w:r>
          </w:p>
        </w:tc>
        <w:tc>
          <w:tcPr>
            <w:tcW w:w="1029" w:type="dxa"/>
            <w:tcBorders/>
          </w:tcPr>
          <w:p>
            <w:pPr>
              <w:pStyle w:val="TableBody"/>
              <w:jc w:val="center"/>
              <w:rPr/>
            </w:pPr>
            <w:r>
              <w:rPr/>
              <w:t>800</w:t>
            </w:r>
          </w:p>
        </w:tc>
        <w:tc>
          <w:tcPr>
            <w:tcW w:w="1068" w:type="dxa"/>
            <w:tcBorders/>
          </w:tcPr>
          <w:p>
            <w:pPr>
              <w:pStyle w:val="TableBody"/>
              <w:jc w:val="center"/>
              <w:rPr/>
            </w:pPr>
            <w:r>
              <w:rPr/>
              <w:t>4.0</w:t>
            </w:r>
          </w:p>
        </w:tc>
        <w:tc>
          <w:tcPr>
            <w:tcW w:w="990" w:type="dxa"/>
            <w:tcBorders>
              <w:end w:val="single" w:sz="4" w:space="0" w:color="000000"/>
            </w:tcBorders>
          </w:tcPr>
          <w:p>
            <w:pPr>
              <w:pStyle w:val="TableBody"/>
              <w:jc w:val="center"/>
              <w:rPr/>
            </w:pPr>
            <w:r>
              <w:rPr/>
              <w:t>N/A</w:t>
            </w:r>
          </w:p>
        </w:tc>
      </w:tr>
      <w:tr>
        <w:trPr>
          <w:trHeight w:val="70" w:hRule="atLeast"/>
        </w:trPr>
        <w:tc>
          <w:tcPr>
            <w:tcW w:w="1233" w:type="dxa"/>
            <w:gridSpan w:val="2"/>
            <w:tcBorders>
              <w:top w:val="single" w:sz="4" w:space="0" w:color="000000"/>
            </w:tcBorders>
          </w:tcPr>
          <w:p>
            <w:pPr>
              <w:pStyle w:val="TableSpacer"/>
              <w:snapToGrid w:val="false"/>
              <w:spacing w:lineRule="auto" w:line="240"/>
              <w:jc w:val="both"/>
              <w:rPr/>
            </w:pPr>
            <w:r>
              <w:rPr/>
            </w:r>
          </w:p>
        </w:tc>
        <w:tc>
          <w:tcPr>
            <w:tcW w:w="2160" w:type="dxa"/>
            <w:tcBorders>
              <w:top w:val="single" w:sz="4" w:space="0" w:color="000000"/>
            </w:tcBorders>
          </w:tcPr>
          <w:p>
            <w:pPr>
              <w:pStyle w:val="TableBody"/>
              <w:snapToGrid w:val="false"/>
              <w:jc w:val="both"/>
              <w:rPr/>
            </w:pPr>
            <w:r>
              <w:rPr/>
            </w:r>
          </w:p>
        </w:tc>
        <w:tc>
          <w:tcPr>
            <w:tcW w:w="1029" w:type="dxa"/>
            <w:tcBorders>
              <w:top w:val="single" w:sz="4" w:space="0" w:color="000000"/>
            </w:tcBorders>
          </w:tcPr>
          <w:p>
            <w:pPr>
              <w:pStyle w:val="TableBody"/>
              <w:snapToGrid w:val="false"/>
              <w:jc w:val="both"/>
              <w:rPr/>
            </w:pPr>
            <w:r>
              <w:rPr/>
            </w:r>
          </w:p>
        </w:tc>
        <w:tc>
          <w:tcPr>
            <w:tcW w:w="1068" w:type="dxa"/>
            <w:tcBorders>
              <w:top w:val="single" w:sz="4" w:space="0" w:color="000000"/>
            </w:tcBorders>
          </w:tcPr>
          <w:p>
            <w:pPr>
              <w:pStyle w:val="TableBody"/>
              <w:snapToGrid w:val="false"/>
              <w:jc w:val="both"/>
              <w:rPr/>
            </w:pPr>
            <w:r>
              <w:rPr/>
            </w:r>
          </w:p>
        </w:tc>
        <w:tc>
          <w:tcPr>
            <w:tcW w:w="990" w:type="dxa"/>
            <w:tcBorders>
              <w:top w:val="single" w:sz="4" w:space="0" w:color="000000"/>
            </w:tcBorders>
          </w:tcPr>
          <w:p>
            <w:pPr>
              <w:pStyle w:val="TableBody"/>
              <w:snapToGrid w:val="false"/>
              <w:jc w:val="both"/>
              <w:rPr/>
            </w:pPr>
            <w:r>
              <w:rPr/>
            </w:r>
          </w:p>
        </w:tc>
      </w:tr>
      <w:tr>
        <w:trPr/>
        <w:tc>
          <w:tcPr>
            <w:tcW w:w="540" w:type="dxa"/>
            <w:tcBorders/>
          </w:tcPr>
          <w:p>
            <w:pPr>
              <w:pStyle w:val="TableSpacer"/>
              <w:spacing w:lineRule="auto" w:line="240"/>
              <w:jc w:val="both"/>
              <w:rPr>
                <w:sz w:val="12"/>
              </w:rPr>
            </w:pPr>
            <w:r>
              <w:rPr>
                <w:sz w:val="12"/>
              </w:rPr>
              <w:t>Note:</w:t>
              <w:tab/>
            </w:r>
          </w:p>
        </w:tc>
        <w:tc>
          <w:tcPr>
            <w:tcW w:w="5940" w:type="dxa"/>
            <w:gridSpan w:val="5"/>
            <w:tcBorders/>
          </w:tcPr>
          <w:p>
            <w:pPr>
              <w:pStyle w:val="TableBody"/>
              <w:numPr>
                <w:ilvl w:val="0"/>
                <w:numId w:val="2"/>
              </w:numPr>
              <w:jc w:val="both"/>
              <w:rPr>
                <w:sz w:val="12"/>
              </w:rPr>
            </w:pPr>
            <w:r>
              <w:rPr>
                <w:sz w:val="12"/>
              </w:rPr>
              <w:t>Expected to reach 1,000 MW by 2005</w:t>
            </w:r>
          </w:p>
          <w:p>
            <w:pPr>
              <w:pStyle w:val="TableBody"/>
              <w:numPr>
                <w:ilvl w:val="0"/>
                <w:numId w:val="2"/>
              </w:numPr>
              <w:jc w:val="both"/>
              <w:rPr>
                <w:sz w:val="12"/>
              </w:rPr>
            </w:pPr>
            <w:r>
              <w:rPr>
                <w:sz w:val="12"/>
              </w:rPr>
              <w:t>Expected to reach 535 MW by 2003</w:t>
            </w:r>
          </w:p>
          <w:p>
            <w:pPr>
              <w:pStyle w:val="TableBody"/>
              <w:numPr>
                <w:ilvl w:val="0"/>
                <w:numId w:val="2"/>
              </w:numPr>
              <w:jc w:val="both"/>
              <w:rPr>
                <w:sz w:val="12"/>
              </w:rPr>
            </w:pPr>
            <w:r>
              <w:rPr>
                <w:sz w:val="12"/>
              </w:rPr>
              <w:t>Expected to reach 900 MW by 2005</w:t>
            </w:r>
          </w:p>
          <w:p>
            <w:pPr>
              <w:pStyle w:val="TableBody"/>
              <w:numPr>
                <w:ilvl w:val="0"/>
                <w:numId w:val="2"/>
              </w:numPr>
              <w:jc w:val="both"/>
              <w:rPr>
                <w:sz w:val="12"/>
              </w:rPr>
            </w:pPr>
            <w:r>
              <w:rPr>
                <w:sz w:val="12"/>
              </w:rPr>
              <w:t>Represents the conversion of a fuel oil plant to natural gas</w:t>
            </w:r>
          </w:p>
        </w:tc>
      </w:tr>
    </w:tbl>
    <w:p>
      <w:pPr>
        <w:pStyle w:val="BLKmed1st1"/>
        <w:rPr/>
      </w:pPr>
      <w:r>
        <w:rPr/>
      </w:r>
    </w:p>
    <w:p>
      <w:pPr>
        <w:pStyle w:val="Heading4"/>
        <w:ind w:hanging="0" w:start="0"/>
        <w:rPr/>
      </w:pPr>
      <w:r>
        <w:rPr/>
        <w:t>Gas Supplies</w:t>
      </w:r>
    </w:p>
    <w:p>
      <w:pPr>
        <w:pStyle w:val="BLKmed1st1"/>
        <w:rPr/>
      </w:pPr>
      <w:r>
        <w:rPr/>
        <w:t xml:space="preserve">The Gas Purchase and Sale Agreements for the supply of natural gas by Petrobras govern the quantities, quality, price, billing, guarantees of payment, measurements, form of delivery of natural gas for a period of five years (1997-2001) in the case of CEG, and ten years (1997-2006) in the case of CEG-Rio. </w:t>
      </w:r>
    </w:p>
    <w:p>
      <w:pPr>
        <w:pStyle w:val="BLKmed1st1"/>
        <w:rPr/>
      </w:pPr>
      <w:r>
        <w:rPr/>
        <w:t>Currently, CEG/CEG-Rio are negotiating a supply contract with Petrobras for an additional 1.2 MMm</w:t>
      </w:r>
      <w:r>
        <w:rPr>
          <w:vertAlign w:val="superscript"/>
        </w:rPr>
        <w:t>3</w:t>
      </w:r>
      <w:r>
        <w:rPr/>
        <w:t>/day.  CEG/CEG-Rio’s goal is to use this potential additional supply to attract new customers.  A summary of the key terms of the existing gas supply contracts is given below:</w:t>
      </w:r>
    </w:p>
    <w:tbl>
      <w:tblPr>
        <w:tblW w:w="6480" w:type="dxa"/>
        <w:jc w:val="start"/>
        <w:tblInd w:w="108" w:type="dxa"/>
        <w:tblLayout w:type="fixed"/>
        <w:tblCellMar>
          <w:top w:w="0" w:type="dxa"/>
          <w:start w:w="108" w:type="dxa"/>
          <w:bottom w:w="0" w:type="dxa"/>
          <w:end w:w="108" w:type="dxa"/>
        </w:tblCellMar>
      </w:tblPr>
      <w:tblGrid>
        <w:gridCol w:w="1170"/>
        <w:gridCol w:w="2655"/>
        <w:gridCol w:w="2655"/>
      </w:tblGrid>
      <w:tr>
        <w:trPr>
          <w:tblHeader w:val="true"/>
        </w:trPr>
        <w:tc>
          <w:tcPr>
            <w:tcW w:w="1170" w:type="dxa"/>
            <w:tcBorders>
              <w:top w:val="single" w:sz="4" w:space="0" w:color="000000"/>
              <w:start w:val="single" w:sz="4" w:space="0" w:color="000000"/>
              <w:bottom w:val="single" w:sz="4" w:space="0" w:color="000000"/>
            </w:tcBorders>
            <w:shd w:fill="FFFF00" w:val="clear"/>
          </w:tcPr>
          <w:p>
            <w:pPr>
              <w:pStyle w:val="TableBody"/>
              <w:keepNext w:val="true"/>
              <w:snapToGrid w:val="false"/>
              <w:rPr>
                <w:b/>
              </w:rPr>
            </w:pPr>
            <w:r>
              <w:rPr>
                <w:b/>
              </w:rPr>
            </w:r>
          </w:p>
        </w:tc>
        <w:tc>
          <w:tcPr>
            <w:tcW w:w="2655" w:type="dxa"/>
            <w:tcBorders>
              <w:top w:val="single" w:sz="4" w:space="0" w:color="000000"/>
              <w:bottom w:val="single" w:sz="4" w:space="0" w:color="000000"/>
            </w:tcBorders>
            <w:shd w:fill="FFFF00" w:val="clear"/>
          </w:tcPr>
          <w:p>
            <w:pPr>
              <w:pStyle w:val="TableHead"/>
              <w:pBdr>
                <w:bottom w:val="nil"/>
              </w:pBdr>
              <w:rPr>
                <w:sz w:val="18"/>
              </w:rPr>
            </w:pPr>
            <w:r>
              <w:rPr>
                <w:sz w:val="18"/>
              </w:rPr>
              <w:t>CEG</w:t>
            </w:r>
          </w:p>
        </w:tc>
        <w:tc>
          <w:tcPr>
            <w:tcW w:w="2655" w:type="dxa"/>
            <w:tcBorders>
              <w:top w:val="single" w:sz="4" w:space="0" w:color="000000"/>
              <w:bottom w:val="single" w:sz="4" w:space="0" w:color="000000"/>
              <w:end w:val="single" w:sz="4" w:space="0" w:color="000000"/>
            </w:tcBorders>
            <w:shd w:fill="FFFF00" w:val="clear"/>
          </w:tcPr>
          <w:p>
            <w:pPr>
              <w:pStyle w:val="TableHead"/>
              <w:pBdr>
                <w:bottom w:val="nil"/>
              </w:pBdr>
              <w:rPr>
                <w:sz w:val="18"/>
              </w:rPr>
            </w:pPr>
            <w:r>
              <w:rPr>
                <w:sz w:val="18"/>
              </w:rPr>
              <w:t>CEG-Rio</w:t>
            </w:r>
          </w:p>
        </w:tc>
      </w:tr>
      <w:tr>
        <w:trPr>
          <w:tblHeader w:val="true"/>
        </w:trPr>
        <w:tc>
          <w:tcPr>
            <w:tcW w:w="1170" w:type="dxa"/>
            <w:tcBorders>
              <w:start w:val="single" w:sz="4" w:space="0" w:color="000000"/>
            </w:tcBorders>
          </w:tcPr>
          <w:p>
            <w:pPr>
              <w:pStyle w:val="TableSpacer"/>
              <w:keepNext w:val="true"/>
              <w:snapToGrid w:val="false"/>
              <w:rPr/>
            </w:pPr>
            <w:r>
              <w:rPr/>
            </w:r>
          </w:p>
        </w:tc>
        <w:tc>
          <w:tcPr>
            <w:tcW w:w="2655" w:type="dxa"/>
            <w:tcBorders/>
          </w:tcPr>
          <w:p>
            <w:pPr>
              <w:pStyle w:val="TableSpacer"/>
              <w:keepNext w:val="true"/>
              <w:snapToGrid w:val="false"/>
              <w:rPr/>
            </w:pPr>
            <w:r>
              <w:rPr/>
            </w:r>
          </w:p>
        </w:tc>
        <w:tc>
          <w:tcPr>
            <w:tcW w:w="2655" w:type="dxa"/>
            <w:tcBorders>
              <w:end w:val="single" w:sz="4" w:space="0" w:color="000000"/>
            </w:tcBorders>
          </w:tcPr>
          <w:p>
            <w:pPr>
              <w:pStyle w:val="TableSpacer"/>
              <w:keepNext w:val="true"/>
              <w:snapToGrid w:val="false"/>
              <w:rPr/>
            </w:pPr>
            <w:r>
              <w:rPr/>
            </w:r>
          </w:p>
        </w:tc>
      </w:tr>
      <w:tr>
        <w:trPr/>
        <w:tc>
          <w:tcPr>
            <w:tcW w:w="1170" w:type="dxa"/>
            <w:tcBorders>
              <w:start w:val="single" w:sz="4" w:space="0" w:color="000000"/>
            </w:tcBorders>
          </w:tcPr>
          <w:p>
            <w:pPr>
              <w:pStyle w:val="TableBody"/>
              <w:keepNext w:val="true"/>
              <w:jc w:val="both"/>
              <w:rPr/>
            </w:pPr>
            <w:r>
              <w:rPr/>
              <w:t>Term</w:t>
            </w:r>
          </w:p>
        </w:tc>
        <w:tc>
          <w:tcPr>
            <w:tcW w:w="2655" w:type="dxa"/>
            <w:tcBorders/>
          </w:tcPr>
          <w:p>
            <w:pPr>
              <w:pStyle w:val="TableBody"/>
              <w:keepNext w:val="true"/>
              <w:jc w:val="both"/>
              <w:rPr/>
            </w:pPr>
            <w:r>
              <w:rPr/>
              <w:t>10 yrs., extend if mutually agreed</w:t>
            </w:r>
          </w:p>
        </w:tc>
        <w:tc>
          <w:tcPr>
            <w:tcW w:w="2655" w:type="dxa"/>
            <w:tcBorders>
              <w:end w:val="single" w:sz="4" w:space="0" w:color="000000"/>
            </w:tcBorders>
          </w:tcPr>
          <w:p>
            <w:pPr>
              <w:pStyle w:val="TableBody"/>
              <w:keepNext w:val="true"/>
              <w:jc w:val="both"/>
              <w:rPr/>
            </w:pPr>
            <w:r>
              <w:rPr/>
              <w:t>10 yrs., extend if mutually agreed</w:t>
            </w:r>
          </w:p>
        </w:tc>
      </w:tr>
      <w:tr>
        <w:trPr/>
        <w:tc>
          <w:tcPr>
            <w:tcW w:w="1170" w:type="dxa"/>
            <w:tcBorders>
              <w:start w:val="single" w:sz="4" w:space="0" w:color="000000"/>
            </w:tcBorders>
          </w:tcPr>
          <w:p>
            <w:pPr>
              <w:pStyle w:val="TableSpacer"/>
              <w:snapToGrid w:val="false"/>
              <w:rPr/>
            </w:pPr>
            <w:r>
              <w:rPr/>
            </w:r>
          </w:p>
        </w:tc>
        <w:tc>
          <w:tcPr>
            <w:tcW w:w="2655" w:type="dxa"/>
            <w:tcBorders/>
          </w:tcPr>
          <w:p>
            <w:pPr>
              <w:pStyle w:val="TableSpacer"/>
              <w:snapToGrid w:val="false"/>
              <w:rPr/>
            </w:pPr>
            <w:r>
              <w:rPr/>
            </w:r>
          </w:p>
        </w:tc>
        <w:tc>
          <w:tcPr>
            <w:tcW w:w="2655" w:type="dxa"/>
            <w:tcBorders>
              <w:end w:val="single" w:sz="4" w:space="0" w:color="000000"/>
            </w:tcBorders>
          </w:tcPr>
          <w:p>
            <w:pPr>
              <w:pStyle w:val="TableSpacer"/>
              <w:snapToGrid w:val="false"/>
              <w:rPr/>
            </w:pPr>
            <w:r>
              <w:rPr/>
            </w:r>
          </w:p>
        </w:tc>
      </w:tr>
      <w:tr>
        <w:trPr/>
        <w:tc>
          <w:tcPr>
            <w:tcW w:w="1170" w:type="dxa"/>
            <w:tcBorders>
              <w:start w:val="single" w:sz="4" w:space="0" w:color="000000"/>
            </w:tcBorders>
          </w:tcPr>
          <w:p>
            <w:pPr>
              <w:pStyle w:val="TableBody"/>
              <w:jc w:val="both"/>
              <w:rPr/>
            </w:pPr>
            <w:r>
              <w:rPr/>
              <w:t>Price</w:t>
            </w:r>
          </w:p>
        </w:tc>
        <w:tc>
          <w:tcPr>
            <w:tcW w:w="2655" w:type="dxa"/>
            <w:tcBorders/>
          </w:tcPr>
          <w:p>
            <w:pPr>
              <w:pStyle w:val="TableBody"/>
              <w:numPr>
                <w:ilvl w:val="0"/>
                <w:numId w:val="6"/>
              </w:numPr>
              <w:jc w:val="both"/>
              <w:rPr/>
            </w:pPr>
            <w:r>
              <w:rPr/>
              <w:t>Set by Federal Government for purposes of vehicle use and fuel usage</w:t>
            </w:r>
          </w:p>
          <w:p>
            <w:pPr>
              <w:pStyle w:val="TableBody"/>
              <w:numPr>
                <w:ilvl w:val="0"/>
                <w:numId w:val="6"/>
              </w:numPr>
              <w:jc w:val="both"/>
              <w:rPr/>
            </w:pPr>
            <w:r>
              <w:rPr/>
              <w:t>90% of price established by Federal Government for use as petrochemical raw material</w:t>
            </w:r>
          </w:p>
          <w:p>
            <w:pPr>
              <w:pStyle w:val="TableBody"/>
              <w:numPr>
                <w:ilvl w:val="0"/>
                <w:numId w:val="6"/>
              </w:numPr>
              <w:jc w:val="both"/>
              <w:rPr/>
            </w:pPr>
            <w:r>
              <w:rPr/>
              <w:t>Net gas price competitive with fuel oils at 1A fuel x 0.75</w:t>
            </w:r>
          </w:p>
          <w:p>
            <w:pPr>
              <w:pStyle w:val="TableBody"/>
              <w:numPr>
                <w:ilvl w:val="0"/>
                <w:numId w:val="6"/>
              </w:numPr>
              <w:jc w:val="both"/>
              <w:rPr/>
            </w:pPr>
            <w:r>
              <w:rPr/>
              <w:t>Backup fuel gas price:  energy parity with oil FOB FOIA x factor</w:t>
            </w:r>
          </w:p>
          <w:p>
            <w:pPr>
              <w:pStyle w:val="TableBody"/>
              <w:numPr>
                <w:ilvl w:val="0"/>
                <w:numId w:val="4"/>
              </w:numPr>
              <w:jc w:val="both"/>
              <w:rPr/>
            </w:pPr>
            <w:r>
              <w:rPr/>
              <w:t>Backup non-fuel gas price:  energy parity with oil derivatives</w:t>
            </w:r>
          </w:p>
        </w:tc>
        <w:tc>
          <w:tcPr>
            <w:tcW w:w="2655" w:type="dxa"/>
            <w:tcBorders>
              <w:end w:val="single" w:sz="4" w:space="0" w:color="000000"/>
            </w:tcBorders>
          </w:tcPr>
          <w:p>
            <w:pPr>
              <w:pStyle w:val="TableBody"/>
              <w:numPr>
                <w:ilvl w:val="0"/>
                <w:numId w:val="8"/>
              </w:numPr>
              <w:jc w:val="both"/>
              <w:rPr/>
            </w:pPr>
            <w:r>
              <w:rPr/>
              <w:t>Set by Federal Government</w:t>
            </w:r>
          </w:p>
          <w:p>
            <w:pPr>
              <w:pStyle w:val="TableBody"/>
              <w:numPr>
                <w:ilvl w:val="0"/>
                <w:numId w:val="8"/>
              </w:numPr>
              <w:jc w:val="both"/>
              <w:rPr/>
            </w:pPr>
            <w:r>
              <w:rPr/>
              <w:t>Net gas price competitive with fuel oils and to facilitate non-fuel gas use at 1A fuel x 0.75</w:t>
            </w:r>
          </w:p>
          <w:p>
            <w:pPr>
              <w:pStyle w:val="TableBody"/>
              <w:numPr>
                <w:ilvl w:val="0"/>
                <w:numId w:val="8"/>
              </w:numPr>
              <w:jc w:val="both"/>
              <w:rPr/>
            </w:pPr>
            <w:r>
              <w:rPr/>
              <w:t>Backup fuel gas price:  energy parity with oil FOB FOIA x factor</w:t>
            </w:r>
          </w:p>
          <w:p>
            <w:pPr>
              <w:pStyle w:val="TableBody"/>
              <w:numPr>
                <w:ilvl w:val="0"/>
                <w:numId w:val="8"/>
              </w:numPr>
              <w:jc w:val="both"/>
              <w:rPr/>
            </w:pPr>
            <w:r>
              <w:rPr/>
              <w:t>Backup non-fuel gas price:  energy parity with oil derivatives.</w:t>
            </w:r>
          </w:p>
        </w:tc>
      </w:tr>
      <w:tr>
        <w:trPr/>
        <w:tc>
          <w:tcPr>
            <w:tcW w:w="1170" w:type="dxa"/>
            <w:tcBorders>
              <w:start w:val="single" w:sz="4" w:space="0" w:color="000000"/>
            </w:tcBorders>
          </w:tcPr>
          <w:p>
            <w:pPr>
              <w:pStyle w:val="TableSpacer"/>
              <w:snapToGrid w:val="false"/>
              <w:rPr/>
            </w:pPr>
            <w:r>
              <w:rPr/>
            </w:r>
          </w:p>
        </w:tc>
        <w:tc>
          <w:tcPr>
            <w:tcW w:w="2655" w:type="dxa"/>
            <w:tcBorders/>
          </w:tcPr>
          <w:p>
            <w:pPr>
              <w:pStyle w:val="TableSpacer"/>
              <w:snapToGrid w:val="false"/>
              <w:rPr/>
            </w:pPr>
            <w:r>
              <w:rPr/>
            </w:r>
          </w:p>
        </w:tc>
        <w:tc>
          <w:tcPr>
            <w:tcW w:w="2655" w:type="dxa"/>
            <w:tcBorders>
              <w:end w:val="single" w:sz="4" w:space="0" w:color="000000"/>
            </w:tcBorders>
          </w:tcPr>
          <w:p>
            <w:pPr>
              <w:pStyle w:val="TableSpacer"/>
              <w:snapToGrid w:val="false"/>
              <w:rPr/>
            </w:pPr>
            <w:r>
              <w:rPr/>
            </w:r>
          </w:p>
        </w:tc>
      </w:tr>
      <w:tr>
        <w:trPr/>
        <w:tc>
          <w:tcPr>
            <w:tcW w:w="1170" w:type="dxa"/>
            <w:tcBorders>
              <w:start w:val="single" w:sz="4" w:space="0" w:color="000000"/>
            </w:tcBorders>
          </w:tcPr>
          <w:p>
            <w:pPr>
              <w:pStyle w:val="TableBody"/>
              <w:jc w:val="both"/>
              <w:rPr/>
            </w:pPr>
            <w:r>
              <w:rPr/>
              <w:t>Take or Pay</w:t>
            </w:r>
          </w:p>
        </w:tc>
        <w:tc>
          <w:tcPr>
            <w:tcW w:w="2655" w:type="dxa"/>
            <w:tcBorders/>
          </w:tcPr>
          <w:p>
            <w:pPr>
              <w:pStyle w:val="TableBody"/>
              <w:rPr/>
            </w:pPr>
            <w:r>
              <w:rPr/>
              <w:t>Volumes = 80% of the volumes listed below</w:t>
            </w:r>
          </w:p>
        </w:tc>
        <w:tc>
          <w:tcPr>
            <w:tcW w:w="2655" w:type="dxa"/>
            <w:tcBorders>
              <w:end w:val="single" w:sz="4" w:space="0" w:color="000000"/>
            </w:tcBorders>
          </w:tcPr>
          <w:p>
            <w:pPr>
              <w:pStyle w:val="TableBody"/>
              <w:rPr/>
            </w:pPr>
            <w:r>
              <w:rPr/>
              <w:t>[No Take-or-Pay?]</w:t>
            </w:r>
          </w:p>
        </w:tc>
      </w:tr>
      <w:tr>
        <w:trPr/>
        <w:tc>
          <w:tcPr>
            <w:tcW w:w="1170" w:type="dxa"/>
            <w:tcBorders>
              <w:start w:val="single" w:sz="4" w:space="0" w:color="000000"/>
            </w:tcBorders>
          </w:tcPr>
          <w:p>
            <w:pPr>
              <w:pStyle w:val="TableSpacer"/>
              <w:snapToGrid w:val="false"/>
              <w:rPr/>
            </w:pPr>
            <w:r>
              <w:rPr/>
            </w:r>
          </w:p>
        </w:tc>
        <w:tc>
          <w:tcPr>
            <w:tcW w:w="2655" w:type="dxa"/>
            <w:tcBorders/>
          </w:tcPr>
          <w:p>
            <w:pPr>
              <w:pStyle w:val="TableSpacer"/>
              <w:snapToGrid w:val="false"/>
              <w:rPr/>
            </w:pPr>
            <w:r>
              <w:rPr/>
            </w:r>
          </w:p>
        </w:tc>
        <w:tc>
          <w:tcPr>
            <w:tcW w:w="2655" w:type="dxa"/>
            <w:tcBorders>
              <w:end w:val="single" w:sz="4" w:space="0" w:color="000000"/>
            </w:tcBorders>
          </w:tcPr>
          <w:p>
            <w:pPr>
              <w:pStyle w:val="TableSpacer"/>
              <w:snapToGrid w:val="false"/>
              <w:rPr/>
            </w:pPr>
            <w:r>
              <w:rPr/>
            </w:r>
          </w:p>
        </w:tc>
      </w:tr>
      <w:tr>
        <w:trPr/>
        <w:tc>
          <w:tcPr>
            <w:tcW w:w="1170" w:type="dxa"/>
            <w:tcBorders>
              <w:start w:val="single" w:sz="4" w:space="0" w:color="000000"/>
              <w:bottom w:val="single" w:sz="4" w:space="0" w:color="000000"/>
            </w:tcBorders>
          </w:tcPr>
          <w:p>
            <w:pPr>
              <w:pStyle w:val="TableBody"/>
              <w:jc w:val="both"/>
              <w:rPr/>
            </w:pPr>
            <w:r>
              <w:rPr/>
              <w:t>Quantity</w:t>
            </w:r>
          </w:p>
        </w:tc>
        <w:tc>
          <w:tcPr>
            <w:tcW w:w="2655" w:type="dxa"/>
            <w:tcBorders>
              <w:bottom w:val="single" w:sz="4" w:space="0" w:color="000000"/>
            </w:tcBorders>
          </w:tcPr>
          <w:p>
            <w:pPr>
              <w:pStyle w:val="TableBody"/>
              <w:jc w:val="both"/>
              <w:rPr/>
            </w:pPr>
            <w:r>
              <w:rPr/>
              <w:t>Annual Average Daily Quantity</w:t>
            </w:r>
          </w:p>
          <w:p>
            <w:pPr>
              <w:pStyle w:val="TableBody"/>
              <w:jc w:val="both"/>
              <w:rPr/>
            </w:pPr>
            <w:r>
              <w:rPr/>
              <w:t>(AADQ)</w:t>
            </w:r>
          </w:p>
          <w:p>
            <w:pPr>
              <w:pStyle w:val="TableBody"/>
              <w:tabs>
                <w:tab w:val="clear" w:pos="720"/>
                <w:tab w:val="left" w:pos="432" w:leader="none"/>
                <w:tab w:val="left" w:pos="1062" w:leader="none"/>
                <w:tab w:val="right" w:pos="1692" w:leader="none"/>
              </w:tabs>
              <w:jc w:val="both"/>
              <w:rPr/>
            </w:pPr>
            <w:r>
              <w:rPr/>
              <w:tab/>
              <w:t>Year</w:t>
              <w:tab/>
              <w:t>Quant. ('000 m3/day)</w:t>
            </w:r>
          </w:p>
          <w:p>
            <w:pPr>
              <w:pStyle w:val="TableBody"/>
              <w:tabs>
                <w:tab w:val="clear" w:pos="720"/>
                <w:tab w:val="left" w:pos="432" w:leader="none"/>
                <w:tab w:val="left" w:pos="1062" w:leader="none"/>
                <w:tab w:val="right" w:pos="1692" w:leader="none"/>
              </w:tabs>
              <w:jc w:val="both"/>
              <w:rPr/>
            </w:pPr>
            <w:r>
              <w:rPr/>
              <w:tab/>
              <w:t>1997</w:t>
              <w:tab/>
              <w:tab/>
              <w:t>1850</w:t>
            </w:r>
          </w:p>
          <w:p>
            <w:pPr>
              <w:pStyle w:val="TableBody"/>
              <w:tabs>
                <w:tab w:val="clear" w:pos="720"/>
                <w:tab w:val="left" w:pos="432" w:leader="none"/>
                <w:tab w:val="left" w:pos="1062" w:leader="none"/>
                <w:tab w:val="right" w:pos="1692" w:leader="none"/>
              </w:tabs>
              <w:jc w:val="both"/>
              <w:rPr/>
            </w:pPr>
            <w:r>
              <w:rPr/>
              <w:tab/>
              <w:t>1998</w:t>
              <w:tab/>
              <w:tab/>
              <w:t>1950</w:t>
            </w:r>
          </w:p>
          <w:p>
            <w:pPr>
              <w:pStyle w:val="TableBody"/>
              <w:tabs>
                <w:tab w:val="clear" w:pos="720"/>
                <w:tab w:val="left" w:pos="432" w:leader="none"/>
                <w:tab w:val="left" w:pos="1062" w:leader="none"/>
                <w:tab w:val="right" w:pos="1692" w:leader="none"/>
              </w:tabs>
              <w:jc w:val="both"/>
              <w:rPr/>
            </w:pPr>
            <w:r>
              <w:rPr/>
              <w:tab/>
              <w:t>1999</w:t>
              <w:tab/>
              <w:tab/>
              <w:t>2000</w:t>
            </w:r>
          </w:p>
          <w:p>
            <w:pPr>
              <w:pStyle w:val="TableBody"/>
              <w:tabs>
                <w:tab w:val="clear" w:pos="720"/>
                <w:tab w:val="left" w:pos="432" w:leader="none"/>
                <w:tab w:val="left" w:pos="1062" w:leader="none"/>
                <w:tab w:val="right" w:pos="1692" w:leader="none"/>
              </w:tabs>
              <w:jc w:val="both"/>
              <w:rPr/>
            </w:pPr>
            <w:r>
              <w:rPr/>
              <w:tab/>
              <w:t>2000</w:t>
              <w:tab/>
              <w:tab/>
              <w:t>2050</w:t>
            </w:r>
          </w:p>
          <w:p>
            <w:pPr>
              <w:pStyle w:val="TableBody"/>
              <w:tabs>
                <w:tab w:val="clear" w:pos="720"/>
                <w:tab w:val="left" w:pos="432" w:leader="none"/>
                <w:tab w:val="left" w:pos="1062" w:leader="none"/>
                <w:tab w:val="right" w:pos="1692" w:leader="none"/>
              </w:tabs>
              <w:jc w:val="both"/>
              <w:rPr/>
            </w:pPr>
            <w:r>
              <w:rPr/>
              <w:tab/>
              <w:t>2001</w:t>
              <w:tab/>
              <w:tab/>
              <w:t>2100</w:t>
            </w:r>
          </w:p>
          <w:p>
            <w:pPr>
              <w:pStyle w:val="TableBody"/>
              <w:tabs>
                <w:tab w:val="clear" w:pos="720"/>
                <w:tab w:val="left" w:pos="432" w:leader="none"/>
                <w:tab w:val="left" w:pos="1062" w:leader="none"/>
                <w:tab w:val="right" w:pos="1692" w:leader="none"/>
              </w:tabs>
              <w:jc w:val="both"/>
              <w:rPr/>
            </w:pPr>
            <w:r>
              <w:rPr/>
              <w:tab/>
              <w:t>onwards</w:t>
            </w:r>
          </w:p>
        </w:tc>
        <w:tc>
          <w:tcPr>
            <w:tcW w:w="2655" w:type="dxa"/>
            <w:tcBorders>
              <w:bottom w:val="single" w:sz="4" w:space="0" w:color="000000"/>
              <w:end w:val="single" w:sz="4" w:space="0" w:color="000000"/>
            </w:tcBorders>
          </w:tcPr>
          <w:p>
            <w:pPr>
              <w:pStyle w:val="TableBody"/>
              <w:jc w:val="both"/>
              <w:rPr/>
            </w:pPr>
            <w:r>
              <w:rPr/>
              <w:t>Annual Average Daily Quantity</w:t>
            </w:r>
          </w:p>
          <w:p>
            <w:pPr>
              <w:pStyle w:val="TableBody"/>
              <w:jc w:val="both"/>
              <w:rPr/>
            </w:pPr>
            <w:r>
              <w:rPr/>
              <w:t>(AADQ)</w:t>
            </w:r>
          </w:p>
          <w:p>
            <w:pPr>
              <w:pStyle w:val="TableBody"/>
              <w:tabs>
                <w:tab w:val="clear" w:pos="720"/>
                <w:tab w:val="left" w:pos="477" w:leader="none"/>
                <w:tab w:val="left" w:pos="1107" w:leader="none"/>
                <w:tab w:val="right" w:pos="1737" w:leader="none"/>
              </w:tabs>
              <w:jc w:val="both"/>
              <w:rPr/>
            </w:pPr>
            <w:r>
              <w:rPr/>
              <w:tab/>
              <w:t>Year</w:t>
              <w:tab/>
              <w:t>Quant. ('000 m3/day)</w:t>
            </w:r>
          </w:p>
          <w:p>
            <w:pPr>
              <w:pStyle w:val="TableBody"/>
              <w:tabs>
                <w:tab w:val="clear" w:pos="720"/>
                <w:tab w:val="left" w:pos="477" w:leader="none"/>
                <w:tab w:val="left" w:pos="1107" w:leader="none"/>
                <w:tab w:val="right" w:pos="1737" w:leader="none"/>
              </w:tabs>
              <w:jc w:val="both"/>
              <w:rPr/>
            </w:pPr>
            <w:r>
              <w:rPr/>
              <w:tab/>
              <w:t>1997</w:t>
              <w:tab/>
              <w:tab/>
              <w:t>1800</w:t>
            </w:r>
          </w:p>
          <w:p>
            <w:pPr>
              <w:pStyle w:val="TableBody"/>
              <w:tabs>
                <w:tab w:val="clear" w:pos="720"/>
                <w:tab w:val="left" w:pos="477" w:leader="none"/>
                <w:tab w:val="left" w:pos="1107" w:leader="none"/>
                <w:tab w:val="right" w:pos="1737" w:leader="none"/>
              </w:tabs>
              <w:jc w:val="both"/>
              <w:rPr/>
            </w:pPr>
            <w:r>
              <w:rPr/>
              <w:tab/>
              <w:t>998</w:t>
              <w:tab/>
              <w:tab/>
              <w:t>2030</w:t>
            </w:r>
          </w:p>
          <w:p>
            <w:pPr>
              <w:pStyle w:val="TableBody"/>
              <w:tabs>
                <w:tab w:val="clear" w:pos="720"/>
                <w:tab w:val="left" w:pos="477" w:leader="none"/>
                <w:tab w:val="left" w:pos="1107" w:leader="none"/>
                <w:tab w:val="right" w:pos="1737" w:leader="none"/>
              </w:tabs>
              <w:jc w:val="both"/>
              <w:rPr/>
            </w:pPr>
            <w:r>
              <w:rPr/>
              <w:tab/>
              <w:t>1999</w:t>
              <w:tab/>
              <w:tab/>
              <w:t>2130</w:t>
            </w:r>
          </w:p>
          <w:p>
            <w:pPr>
              <w:pStyle w:val="TableBody"/>
              <w:tabs>
                <w:tab w:val="clear" w:pos="720"/>
                <w:tab w:val="left" w:pos="477" w:leader="none"/>
                <w:tab w:val="left" w:pos="1107" w:leader="none"/>
                <w:tab w:val="right" w:pos="1737" w:leader="none"/>
              </w:tabs>
              <w:jc w:val="both"/>
              <w:rPr/>
            </w:pPr>
            <w:r>
              <w:rPr/>
              <w:tab/>
              <w:t>2000</w:t>
              <w:tab/>
              <w:tab/>
              <w:t>2210</w:t>
            </w:r>
          </w:p>
          <w:p>
            <w:pPr>
              <w:pStyle w:val="TableBody"/>
              <w:tabs>
                <w:tab w:val="clear" w:pos="720"/>
                <w:tab w:val="left" w:pos="477" w:leader="none"/>
                <w:tab w:val="left" w:pos="1107" w:leader="none"/>
                <w:tab w:val="right" w:pos="1737" w:leader="none"/>
              </w:tabs>
              <w:jc w:val="both"/>
              <w:rPr/>
            </w:pPr>
            <w:r>
              <w:rPr/>
              <w:tab/>
              <w:t>2001</w:t>
              <w:tab/>
              <w:tab/>
              <w:t>2270</w:t>
            </w:r>
          </w:p>
          <w:p>
            <w:pPr>
              <w:pStyle w:val="TableBody"/>
              <w:tabs>
                <w:tab w:val="clear" w:pos="720"/>
                <w:tab w:val="left" w:pos="477" w:leader="none"/>
                <w:tab w:val="left" w:pos="1107" w:leader="none"/>
                <w:tab w:val="right" w:pos="1737" w:leader="none"/>
              </w:tabs>
              <w:jc w:val="both"/>
              <w:rPr/>
            </w:pPr>
            <w:r>
              <w:rPr/>
              <w:tab/>
              <w:t>2002</w:t>
              <w:tab/>
              <w:tab/>
              <w:t>2340</w:t>
            </w:r>
          </w:p>
          <w:p>
            <w:pPr>
              <w:pStyle w:val="TableBody"/>
              <w:tabs>
                <w:tab w:val="clear" w:pos="720"/>
                <w:tab w:val="left" w:pos="477" w:leader="none"/>
                <w:tab w:val="left" w:pos="1107" w:leader="none"/>
                <w:tab w:val="right" w:pos="1737" w:leader="none"/>
              </w:tabs>
              <w:jc w:val="both"/>
              <w:rPr/>
            </w:pPr>
            <w:r>
              <w:rPr/>
              <w:tab/>
              <w:t>2003</w:t>
              <w:tab/>
              <w:tab/>
              <w:t>2410</w:t>
            </w:r>
          </w:p>
          <w:p>
            <w:pPr>
              <w:pStyle w:val="TableBody"/>
              <w:tabs>
                <w:tab w:val="clear" w:pos="720"/>
                <w:tab w:val="left" w:pos="477" w:leader="none"/>
                <w:tab w:val="left" w:pos="1107" w:leader="none"/>
                <w:tab w:val="right" w:pos="1737" w:leader="none"/>
              </w:tabs>
              <w:jc w:val="both"/>
              <w:rPr/>
            </w:pPr>
            <w:r>
              <w:rPr/>
              <w:tab/>
              <w:t>2004</w:t>
              <w:tab/>
              <w:tab/>
              <w:t>2490</w:t>
            </w:r>
          </w:p>
          <w:p>
            <w:pPr>
              <w:pStyle w:val="TableBody"/>
              <w:tabs>
                <w:tab w:val="clear" w:pos="720"/>
                <w:tab w:val="left" w:pos="477" w:leader="none"/>
                <w:tab w:val="left" w:pos="1107" w:leader="none"/>
                <w:tab w:val="right" w:pos="1737" w:leader="none"/>
              </w:tabs>
              <w:jc w:val="both"/>
              <w:rPr/>
            </w:pPr>
            <w:r>
              <w:rPr/>
              <w:tab/>
              <w:t>2005</w:t>
              <w:tab/>
              <w:tab/>
              <w:t>2560</w:t>
            </w:r>
          </w:p>
          <w:p>
            <w:pPr>
              <w:pStyle w:val="TableBody"/>
              <w:tabs>
                <w:tab w:val="clear" w:pos="720"/>
                <w:tab w:val="left" w:pos="477" w:leader="none"/>
                <w:tab w:val="left" w:pos="1107" w:leader="none"/>
                <w:tab w:val="right" w:pos="1737" w:leader="none"/>
              </w:tabs>
              <w:jc w:val="both"/>
              <w:rPr/>
            </w:pPr>
            <w:r>
              <w:rPr/>
              <w:tab/>
              <w:t>2006</w:t>
              <w:tab/>
              <w:tab/>
              <w:t>2640</w:t>
            </w:r>
          </w:p>
          <w:p>
            <w:pPr>
              <w:pStyle w:val="TableBody"/>
              <w:jc w:val="both"/>
              <w:rPr/>
            </w:pPr>
            <w:r>
              <w:rPr/>
              <w:t>Beginning 1999, best efforts to supply additional 1,100,000 m3/day.</w:t>
            </w:r>
          </w:p>
        </w:tc>
      </w:tr>
    </w:tbl>
    <w:p>
      <w:pPr>
        <w:pStyle w:val="BLKmed1st1"/>
        <w:spacing w:before="240" w:after="220"/>
        <w:rPr/>
      </w:pPr>
      <w:r>
        <w:rPr/>
        <w:t>The current tariffs for the supply of gas to CEG/CEG-RIO are:</w:t>
      </w:r>
    </w:p>
    <w:tbl>
      <w:tblPr>
        <w:tblW w:w="6702" w:type="dxa"/>
        <w:jc w:val="start"/>
        <w:tblInd w:w="0" w:type="dxa"/>
        <w:tblLayout w:type="fixed"/>
        <w:tblCellMar>
          <w:top w:w="0" w:type="dxa"/>
          <w:start w:w="108" w:type="dxa"/>
          <w:bottom w:w="0" w:type="dxa"/>
          <w:end w:w="108" w:type="dxa"/>
        </w:tblCellMar>
      </w:tblPr>
      <w:tblGrid>
        <w:gridCol w:w="3351"/>
        <w:gridCol w:w="3351"/>
      </w:tblGrid>
      <w:tr>
        <w:trPr/>
        <w:tc>
          <w:tcPr>
            <w:tcW w:w="3351" w:type="dxa"/>
            <w:tcBorders>
              <w:top w:val="single" w:sz="2" w:space="0" w:color="000000"/>
              <w:start w:val="single" w:sz="2" w:space="0" w:color="000000"/>
              <w:bottom w:val="single" w:sz="2" w:space="0" w:color="000000"/>
            </w:tcBorders>
            <w:shd w:fill="FFFF00" w:val="clear"/>
          </w:tcPr>
          <w:p>
            <w:pPr>
              <w:pStyle w:val="BLKmed1st1"/>
              <w:spacing w:before="0" w:after="0"/>
              <w:jc w:val="center"/>
              <w:rPr>
                <w:rFonts w:ascii="Arial Narrow" w:hAnsi="Arial Narrow" w:cs="Arial Narrow"/>
                <w:b/>
                <w:sz w:val="18"/>
              </w:rPr>
            </w:pPr>
            <w:r>
              <w:rPr>
                <w:rFonts w:cs="Arial Narrow" w:ascii="Arial Narrow" w:hAnsi="Arial Narrow"/>
                <w:b/>
                <w:sz w:val="18"/>
              </w:rPr>
              <w:t>Sector</w:t>
            </w:r>
          </w:p>
        </w:tc>
        <w:tc>
          <w:tcPr>
            <w:tcW w:w="3351" w:type="dxa"/>
            <w:tcBorders>
              <w:top w:val="single" w:sz="2" w:space="0" w:color="000000"/>
              <w:bottom w:val="single" w:sz="2" w:space="0" w:color="000000"/>
              <w:end w:val="single" w:sz="2" w:space="0" w:color="000000"/>
            </w:tcBorders>
            <w:shd w:fill="FFFF00" w:val="clear"/>
          </w:tcPr>
          <w:p>
            <w:pPr>
              <w:pStyle w:val="BLKmed1st1"/>
              <w:spacing w:before="0" w:after="0"/>
              <w:jc w:val="center"/>
              <w:rPr/>
            </w:pPr>
            <w:r>
              <w:rPr>
                <w:rFonts w:cs="Arial Narrow" w:ascii="Arial Narrow" w:hAnsi="Arial Narrow"/>
                <w:b/>
                <w:sz w:val="18"/>
              </w:rPr>
              <w:t>R$/m</w:t>
            </w:r>
            <w:r>
              <w:rPr>
                <w:rFonts w:cs="Arial Narrow" w:ascii="Arial Narrow" w:hAnsi="Arial Narrow"/>
                <w:b/>
                <w:sz w:val="18"/>
                <w:vertAlign w:val="superscript"/>
              </w:rPr>
              <w:t>3</w:t>
            </w:r>
          </w:p>
        </w:tc>
      </w:tr>
      <w:tr>
        <w:trPr/>
        <w:tc>
          <w:tcPr>
            <w:tcW w:w="3351" w:type="dxa"/>
            <w:tcBorders>
              <w:start w:val="single" w:sz="2" w:space="0" w:color="000000"/>
            </w:tcBorders>
          </w:tcPr>
          <w:p>
            <w:pPr>
              <w:pStyle w:val="BLKmed1st1"/>
              <w:spacing w:before="0" w:after="0"/>
              <w:rPr>
                <w:rFonts w:ascii="Arial Narrow" w:hAnsi="Arial Narrow" w:cs="Arial Narrow"/>
                <w:sz w:val="16"/>
              </w:rPr>
            </w:pPr>
            <w:r>
              <w:rPr>
                <w:rFonts w:cs="Arial Narrow" w:ascii="Arial Narrow" w:hAnsi="Arial Narrow"/>
                <w:sz w:val="16"/>
              </w:rPr>
              <w:t>Industrial/Commercial/Residntial</w:t>
            </w:r>
          </w:p>
        </w:tc>
        <w:tc>
          <w:tcPr>
            <w:tcW w:w="3351" w:type="dxa"/>
            <w:tcBorders>
              <w:end w:val="single" w:sz="2" w:space="0" w:color="000000"/>
            </w:tcBorders>
          </w:tcPr>
          <w:p>
            <w:pPr>
              <w:pStyle w:val="BLKmed1st1"/>
              <w:spacing w:before="0" w:after="0"/>
              <w:jc w:val="center"/>
              <w:rPr>
                <w:rFonts w:ascii="Arial Narrow" w:hAnsi="Arial Narrow" w:cs="Arial Narrow"/>
                <w:sz w:val="16"/>
              </w:rPr>
            </w:pPr>
            <w:r>
              <w:rPr>
                <w:rFonts w:cs="Arial Narrow" w:ascii="Arial Narrow" w:hAnsi="Arial Narrow"/>
                <w:sz w:val="16"/>
              </w:rPr>
              <w:t>0.1302</w:t>
            </w:r>
          </w:p>
        </w:tc>
      </w:tr>
      <w:tr>
        <w:trPr/>
        <w:tc>
          <w:tcPr>
            <w:tcW w:w="3351" w:type="dxa"/>
            <w:tcBorders>
              <w:start w:val="single" w:sz="2" w:space="0" w:color="000000"/>
            </w:tcBorders>
          </w:tcPr>
          <w:p>
            <w:pPr>
              <w:pStyle w:val="BLKmed1st1"/>
              <w:spacing w:before="0" w:after="0"/>
              <w:rPr>
                <w:rFonts w:ascii="Arial Narrow" w:hAnsi="Arial Narrow" w:cs="Arial Narrow"/>
                <w:sz w:val="16"/>
              </w:rPr>
            </w:pPr>
            <w:r>
              <w:rPr>
                <w:rFonts w:cs="Arial Narrow" w:ascii="Arial Narrow" w:hAnsi="Arial Narrow"/>
                <w:sz w:val="16"/>
              </w:rPr>
              <w:t>Automotive</w:t>
            </w:r>
          </w:p>
        </w:tc>
        <w:tc>
          <w:tcPr>
            <w:tcW w:w="3351" w:type="dxa"/>
            <w:tcBorders>
              <w:end w:val="single" w:sz="2" w:space="0" w:color="000000"/>
            </w:tcBorders>
          </w:tcPr>
          <w:p>
            <w:pPr>
              <w:pStyle w:val="BLKmed1st1"/>
              <w:spacing w:before="0" w:after="0"/>
              <w:jc w:val="center"/>
              <w:rPr>
                <w:rFonts w:ascii="Arial Narrow" w:hAnsi="Arial Narrow" w:cs="Arial Narrow"/>
                <w:sz w:val="16"/>
              </w:rPr>
            </w:pPr>
            <w:r>
              <w:rPr>
                <w:rFonts w:cs="Arial Narrow" w:ascii="Arial Narrow" w:hAnsi="Arial Narrow"/>
                <w:sz w:val="16"/>
              </w:rPr>
              <w:t>0.1187</w:t>
            </w:r>
          </w:p>
        </w:tc>
      </w:tr>
      <w:tr>
        <w:trPr/>
        <w:tc>
          <w:tcPr>
            <w:tcW w:w="3351" w:type="dxa"/>
            <w:tcBorders>
              <w:start w:val="single" w:sz="2" w:space="0" w:color="000000"/>
              <w:bottom w:val="single" w:sz="2" w:space="0" w:color="000000"/>
            </w:tcBorders>
          </w:tcPr>
          <w:p>
            <w:pPr>
              <w:pStyle w:val="BLKmed1st1"/>
              <w:spacing w:before="0" w:after="0"/>
              <w:rPr>
                <w:rFonts w:ascii="Arial Narrow" w:hAnsi="Arial Narrow" w:cs="Arial Narrow"/>
                <w:sz w:val="16"/>
              </w:rPr>
            </w:pPr>
            <w:r>
              <w:rPr>
                <w:rFonts w:cs="Arial Narrow" w:ascii="Arial Narrow" w:hAnsi="Arial Narrow"/>
                <w:sz w:val="16"/>
              </w:rPr>
              <w:t>Petrochemical</w:t>
            </w:r>
          </w:p>
        </w:tc>
        <w:tc>
          <w:tcPr>
            <w:tcW w:w="3351" w:type="dxa"/>
            <w:tcBorders>
              <w:bottom w:val="single" w:sz="2" w:space="0" w:color="000000"/>
              <w:end w:val="single" w:sz="2" w:space="0" w:color="000000"/>
            </w:tcBorders>
          </w:tcPr>
          <w:p>
            <w:pPr>
              <w:pStyle w:val="BLKmed1st1"/>
              <w:spacing w:before="0" w:after="0"/>
              <w:jc w:val="center"/>
              <w:rPr>
                <w:rFonts w:ascii="Arial Narrow" w:hAnsi="Arial Narrow" w:cs="Arial Narrow"/>
                <w:sz w:val="16"/>
              </w:rPr>
            </w:pPr>
            <w:r>
              <w:rPr>
                <w:rFonts w:cs="Arial Narrow" w:ascii="Arial Narrow" w:hAnsi="Arial Narrow"/>
                <w:sz w:val="16"/>
              </w:rPr>
              <w:t>0.0768</w:t>
            </w:r>
          </w:p>
        </w:tc>
      </w:tr>
    </w:tbl>
    <w:p>
      <w:pPr>
        <w:pStyle w:val="Heading3"/>
        <w:numPr>
          <w:ilvl w:val="0"/>
          <w:numId w:val="0"/>
        </w:numPr>
        <w:ind w:hanging="0" w:start="0"/>
        <w:rPr/>
      </w:pPr>
      <w:r>
        <w:rPr/>
      </w:r>
    </w:p>
    <w:p>
      <w:pPr>
        <w:pStyle w:val="Heading3"/>
        <w:ind w:hanging="0" w:start="0"/>
        <w:rPr/>
      </w:pPr>
      <w:r>
        <w:rPr/>
        <w:t>Ownership and Governance</w:t>
      </w:r>
    </w:p>
    <w:p>
      <w:pPr>
        <w:pStyle w:val="Heading4"/>
        <w:ind w:hanging="0" w:start="0"/>
        <w:rPr/>
      </w:pPr>
      <w:r>
        <w:rPr/>
        <w:t>Ownership Structure</w:t>
      </w:r>
    </w:p>
    <w:p>
      <w:pPr>
        <w:pStyle w:val="Normal"/>
        <w:rPr/>
      </w:pPr>
      <w:r>
        <w:rPr/>
        <w:t>In 1997, the State of Rio de Janeiro privatized its gas distribution companies by selling through public auction 56% of the shares in CEG and 75% of the shares in Riogas.  The successful bidding consortium was composed of Enron, Gas Natural SDG, S.A. ("Gas Natural"), Iberdrola Investimentos Unipessoal Ltda. ("Iberdrola") and Pluspetrol Energy Sociedad Anonima ("Pluspetrol") (collectively, the "Consortium").</w:t>
      </w:r>
    </w:p>
    <w:p>
      <w:pPr>
        <w:pStyle w:val="Normal"/>
        <w:rPr/>
      </w:pPr>
      <w:r>
        <w:rPr/>
        <w:t>CEG is owned 25.38% by Enron, 18.90% by Gas Natural, 9.87% by Iberdrola, 2.26% by Pluspetrol, and the remainder by non-Enron pension funds.  Riogas is owned 33.750% by Enron, 25.125% by Gas Natural, 13.125% by Iberdrola, 3% by Pluspetrol, and the remaining approximately 25% by Petrobras.</w:t>
      </w:r>
    </w:p>
    <w:p>
      <w:pPr>
        <w:pStyle w:val="Normal"/>
        <w:rPr/>
      </w:pPr>
      <w:r>
        <w:rPr/>
        <w:t>Enron, Gas Natural, Iberdrola and Pluspetrol entered into a Participation Agreement to govern the terms under which they would submit their joint bid for CEG/Riogas, as well as to establish the method for operating the companies if the bid was successful, until the execution of a more definitive Owners' Agreement  The Participation Agreement, as amended, is still in effect.  However, an Owners' Agreement is currently being negotiated and is expected to be executed shortly.</w:t>
      </w:r>
    </w:p>
    <w:p>
      <w:pPr>
        <w:pStyle w:val="Normal"/>
        <w:keepNext w:val="true"/>
        <w:rPr/>
      </w:pPr>
      <w:r>
        <w:rPr/>
        <w:t>The following chart sets forth the ownership structure for CEG/CEG-Rio.</w:t>
      </w:r>
    </w:p>
    <w:p>
      <w:pPr>
        <w:pStyle w:val="Normal"/>
        <w:jc w:val="center"/>
        <w:rPr>
          <w:b/>
        </w:rPr>
      </w:pPr>
      <w:r>
        <w:rPr>
          <w:b/>
        </w:rPr>
        <w:t>CEG</w:t>
      </w:r>
    </w:p>
    <w:p>
      <w:pPr>
        <w:pStyle w:val="Normal"/>
        <w:jc w:val="center"/>
        <w:rPr/>
      </w:pPr>
      <w:bookmarkStart w:id="4" w:name="_1015421036"/>
      <w:bookmarkStart w:id="5" w:name="_1015373764"/>
      <w:bookmarkStart w:id="6" w:name="_1015373583"/>
      <w:bookmarkStart w:id="7" w:name="_1015370698"/>
      <w:bookmarkStart w:id="8" w:name="_1015370500"/>
      <w:bookmarkStart w:id="9" w:name="_1015369936"/>
      <w:bookmarkStart w:id="10" w:name="_1015369790"/>
      <w:bookmarkStart w:id="11" w:name="_1015367569"/>
      <w:bookmarkStart w:id="12" w:name="_1015367538"/>
      <w:bookmarkStart w:id="13" w:name="_1015367418"/>
      <w:bookmarkStart w:id="14" w:name="_1015367398"/>
      <w:bookmarkStart w:id="15" w:name="_1015367382"/>
      <w:bookmarkStart w:id="16" w:name="_1015367358"/>
      <w:bookmarkStart w:id="17" w:name="_1015367315"/>
      <w:bookmarkStart w:id="18" w:name="_1015367287"/>
      <w:bookmarkStart w:id="19" w:name="_1015367242"/>
      <w:bookmarkStart w:id="20" w:name="_1015367198"/>
      <w:bookmarkStart w:id="21" w:name="_1015367170"/>
      <w:bookmarkStart w:id="22" w:name="_1015367102"/>
      <w:bookmarkStart w:id="23" w:name="_1015366948"/>
      <w:bookmarkStart w:id="24" w:name="_101536468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object w:dxaOrig="7920" w:dyaOrig="432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20.35pt;height:129.8pt" filled="f" o:ole="">
            <v:imagedata r:id="rId6" o:title=""/>
          </v:shape>
          <o:OLEObject Type="Embed" ProgID="" ShapeID="ole_rId5" DrawAspect="Content" ObjectID="_259009688" r:id="rId5"/>
        </w:object>
      </w:r>
      <w:r>
        <w:rPr>
          <w:b/>
        </w:rPr>
        <w:t>CEG-Rio</w:t>
      </w:r>
    </w:p>
    <w:p>
      <w:pPr>
        <w:pStyle w:val="Normal"/>
        <w:rPr/>
      </w:pPr>
      <w:bookmarkStart w:id="25" w:name="_1015421038"/>
      <w:bookmarkStart w:id="26" w:name="_1015374012"/>
      <w:bookmarkStart w:id="27" w:name="_1015373996"/>
      <w:bookmarkStart w:id="28" w:name="_1015373979"/>
      <w:bookmarkStart w:id="29" w:name="_1015373965"/>
      <w:bookmarkStart w:id="30" w:name="_1015373948"/>
      <w:bookmarkStart w:id="31" w:name="_1015373912"/>
      <w:bookmarkStart w:id="32" w:name="_1015373892"/>
      <w:bookmarkStart w:id="33" w:name="_1015373873"/>
      <w:bookmarkStart w:id="34" w:name="_1015373778"/>
      <w:bookmarkStart w:id="35" w:name="_1015370700"/>
      <w:bookmarkStart w:id="36" w:name="_1015370603"/>
      <w:bookmarkStart w:id="37" w:name="_1015370013"/>
      <w:bookmarkStart w:id="38" w:name="_1015369943"/>
      <w:bookmarkStart w:id="39" w:name="_1015368860"/>
      <w:bookmarkStart w:id="40" w:name="_1015368819"/>
      <w:bookmarkStart w:id="41" w:name="_1015368231"/>
      <w:bookmarkStart w:id="42" w:name="_1015367937"/>
      <w:bookmarkStart w:id="43" w:name="_1015367863"/>
      <w:bookmarkStart w:id="44" w:name="_101536763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object w:dxaOrig="7920" w:dyaOrig="43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21.9pt;height:130.45pt" filled="f" o:ole="">
            <v:imagedata r:id="rId8" o:title=""/>
          </v:shape>
          <o:OLEObject Type="Embed" ProgID="" ShapeID="ole_rId7" DrawAspect="Content" ObjectID="_1169342771" r:id="rId7"/>
        </w:object>
      </w:r>
      <w:r>
        <w:br w:type="page"/>
      </w:r>
    </w:p>
    <w:p>
      <w:pPr>
        <w:pStyle w:val="Heading4"/>
        <w:ind w:hanging="0" w:start="0"/>
        <w:rPr/>
      </w:pPr>
      <w:r>
        <w:rPr/>
        <w:t>Management</w:t>
      </w:r>
    </w:p>
    <w:p>
      <w:pPr>
        <w:pStyle w:val="Normal"/>
        <w:rPr/>
      </w:pPr>
      <w:r>
        <w:rPr/>
        <w:t xml:space="preserve">Gas Natural is the operator of CEG/Riogas and will lead the operation and management of CEG/Riogas with the support and assistance of Enron and Iberdrola.  The General Shareholders Meetings and the Board govern CEG/Riogas, and the Owners' Committee governs the Consortium with full decision making authority over strategic and material matters relating to CEG/Riogas.  Each member of the Consortium votes its shares consistent with any decisions made by the Owners' Committee. </w:t>
      </w:r>
    </w:p>
    <w:p>
      <w:pPr>
        <w:pStyle w:val="Normal"/>
        <w:rPr>
          <w:u w:val="single"/>
        </w:rPr>
      </w:pPr>
      <w:r>
        <w:rPr/>
        <w:t>Gas Natural was named as the technical bidder for the Consortium and designated as the operator to lead the day to day management and operation of CEG/Riogas, with the collaboration of Enron and Iberdrola.  A management fee was to be divided 50% to Gas Natural, as operator, and 50% proportionately among all Consortium members.</w:t>
      </w:r>
    </w:p>
    <w:p>
      <w:pPr>
        <w:pStyle w:val="Normal"/>
        <w:rPr/>
      </w:pPr>
      <w:r>
        <w:rPr/>
        <w:t>The Owners' Committee is responsible for all strategic and material decisions respecting CEG/Riogas, and the Owners' Committee decides which decisions are "strategic and material".  The Consortium members vote in the General Shareholders Meetings, on the Board, and in the Operational Committees according to the resolutions of the Owners' Committee.</w:t>
      </w:r>
    </w:p>
    <w:p>
      <w:pPr>
        <w:pStyle w:val="Normal"/>
        <w:rPr/>
      </w:pPr>
      <w:r>
        <w:rPr/>
        <w:t xml:space="preserve">The Owners' Committee has five members, two appointed by Enron, two by Gas Natural, and one by Iberdrola.  Irrespective of the number of Owners' Committee members each party is entitled to appoint, each party is entitled to cast a sole "weighted" vote based on its pro rata share in the Consortium for that company.  Using the "weighted" voting procedure, the Owners' Committee makes all decisions by simple majority vote of the Consortium members present, except for certain decisions which require a unanimous vote of the Consortium.  In the event of an impasse in the decision-making of the Owners' Committee, each party will appoint two representatives who will use their best efforts to resolve the impasse.  </w:t>
      </w:r>
    </w:p>
    <w:p>
      <w:pPr>
        <w:pStyle w:val="Normal"/>
        <w:rPr/>
      </w:pPr>
      <w:r>
        <w:rPr/>
        <w:t>Under the Owners' Agreement, the Owners' Committee will approve and submit to the Board corporate policy guidelines for CEG/Riogas with regard to material transactions and matters.</w:t>
      </w:r>
    </w:p>
    <w:p>
      <w:pPr>
        <w:pStyle w:val="Normal"/>
        <w:rPr>
          <w:u w:val="single"/>
        </w:rPr>
      </w:pPr>
      <w:r>
        <w:rPr/>
        <w:t>According to the Owners' Agreement, CEG/Riogas will be governed by a seven member Board, six of which will be selected by the Consortium.   Enron and Gas Natural will each select two and Iberdrola and Pluspetrol will each select one.  The Board of Directors will act by majority vote unless otherwise required by the Owners' Agreement or the bylaws.</w:t>
      </w:r>
    </w:p>
    <w:p>
      <w:pPr>
        <w:pStyle w:val="Normal"/>
        <w:rPr/>
      </w:pPr>
      <w:r>
        <w:rPr/>
        <w:t xml:space="preserve">Gas Natural will select the Chairman of the Board of Directors for the years 1999 and 2000, and after the expiration of that term, the Owners' Committee will meet to define the policy for electing subsequent Chairmen.  According to the Owners' Agreement, the Chairman will be accountable to the Board and the Owners' Committee and will be responsible for the implementation of the decisions made by the Board after consultation with the Owners' Committee.   </w:t>
      </w:r>
    </w:p>
    <w:p>
      <w:pPr>
        <w:pStyle w:val="Normal"/>
        <w:rPr/>
      </w:pPr>
      <w:r>
        <w:rPr/>
        <w:t>The officers carry out the day to day management of CEG/Riogas.  The officers and senior staff will not exceed eight, and the Consortium agrees to cause the same people to be appointed to serve in each company (with the exception of Riogas' chief financial officer who is appointed pursuant to arrangements among Riogas' shareholders).  Iberdrola may appoint one officer, and Enron may appoint one officer and three managers (the corporate and institutional matters officer, the corporate financial and project finance manager, the institutional and regulatory matters manager, and the cogeneration and thermal generation manager).  The number of managers appointed by Iberdrola and Enron will never exceed 25% of the total number of Consortium appointed managers of the CEG/Riogas companies.  All officers report to the chief executive officer.</w:t>
      </w:r>
    </w:p>
    <w:p>
      <w:pPr>
        <w:pStyle w:val="Heading3"/>
        <w:ind w:hanging="0" w:start="0"/>
        <w:rPr/>
      </w:pPr>
      <w:r>
        <w:rPr/>
        <w:t>Employees</w:t>
      </w:r>
    </w:p>
    <w:p>
      <w:pPr>
        <w:pStyle w:val="BLKmed1st1"/>
        <w:keepLines/>
        <w:tabs>
          <w:tab w:val="clear" w:pos="720"/>
          <w:tab w:val="left" w:pos="3330" w:leader="none"/>
        </w:tabs>
        <w:rPr/>
      </w:pPr>
      <w:r>
        <w:rPr/>
        <w:t>CEG-Rio is effectively run by CEG and has no employees of its own. CEG currently has 520 employees (December 1999), down from [    ] at the time of the privatization.  Enron strongly believes that these staffing levels could be further reduced to [  ] in the short term. CEG’s 520 employees are divided into the following functional areas:</w:t>
      </w:r>
    </w:p>
    <w:p>
      <w:pPr>
        <w:pStyle w:val="BLKmed1st1"/>
        <w:keepNext w:val="true"/>
        <w:keepLines/>
        <w:tabs>
          <w:tab w:val="clear" w:pos="720"/>
          <w:tab w:val="left" w:pos="3330" w:leader="none"/>
        </w:tabs>
        <w:jc w:val="start"/>
        <w:rPr>
          <w:b/>
        </w:rPr>
      </w:pPr>
      <w:r>
        <w:rPr>
          <w:b/>
        </w:rPr>
        <w:t>Number of Employees by Function</w:t>
      </w:r>
    </w:p>
    <w:tbl>
      <w:tblPr>
        <w:tblW w:w="4752" w:type="dxa"/>
        <w:jc w:val="start"/>
        <w:tblInd w:w="0" w:type="dxa"/>
        <w:tblLayout w:type="fixed"/>
        <w:tblCellMar>
          <w:top w:w="0" w:type="dxa"/>
          <w:start w:w="108" w:type="dxa"/>
          <w:bottom w:w="0" w:type="dxa"/>
          <w:end w:w="108" w:type="dxa"/>
        </w:tblCellMar>
      </w:tblPr>
      <w:tblGrid>
        <w:gridCol w:w="3744"/>
        <w:gridCol w:w="1008"/>
      </w:tblGrid>
      <w:tr>
        <w:trPr/>
        <w:tc>
          <w:tcPr>
            <w:tcW w:w="3744" w:type="dxa"/>
            <w:tcBorders>
              <w:top w:val="single" w:sz="4" w:space="0" w:color="000000"/>
              <w:start w:val="single" w:sz="4" w:space="0" w:color="000000"/>
            </w:tcBorders>
          </w:tcPr>
          <w:p>
            <w:pPr>
              <w:pStyle w:val="BLKmed1st1"/>
              <w:keepNext w:val="true"/>
              <w:spacing w:before="0" w:after="0"/>
              <w:rPr/>
            </w:pPr>
            <w:r>
              <w:rPr/>
              <w:t>Office of the President</w:t>
            </w:r>
          </w:p>
        </w:tc>
        <w:tc>
          <w:tcPr>
            <w:tcW w:w="1008" w:type="dxa"/>
            <w:tcBorders>
              <w:top w:val="single" w:sz="4" w:space="0" w:color="000000"/>
              <w:end w:val="single" w:sz="4" w:space="0" w:color="000000"/>
            </w:tcBorders>
          </w:tcPr>
          <w:p>
            <w:pPr>
              <w:pStyle w:val="BLKmed1st1"/>
              <w:keepNext w:val="true"/>
              <w:tabs>
                <w:tab w:val="clear" w:pos="720"/>
                <w:tab w:val="decimal" w:pos="576" w:leader="none"/>
              </w:tabs>
              <w:spacing w:before="0" w:after="0"/>
              <w:rPr/>
            </w:pPr>
            <w:r>
              <w:rPr/>
              <w:t>8</w:t>
            </w:r>
          </w:p>
        </w:tc>
      </w:tr>
      <w:tr>
        <w:trPr/>
        <w:tc>
          <w:tcPr>
            <w:tcW w:w="3744" w:type="dxa"/>
            <w:tcBorders>
              <w:start w:val="single" w:sz="4" w:space="0" w:color="000000"/>
            </w:tcBorders>
          </w:tcPr>
          <w:p>
            <w:pPr>
              <w:pStyle w:val="BLKmed1st1"/>
              <w:keepNext w:val="true"/>
              <w:spacing w:before="0" w:after="0"/>
              <w:rPr/>
            </w:pPr>
            <w:r>
              <w:rPr/>
              <w:t>Finance</w:t>
            </w:r>
          </w:p>
        </w:tc>
        <w:tc>
          <w:tcPr>
            <w:tcW w:w="1008" w:type="dxa"/>
            <w:tcBorders>
              <w:end w:val="single" w:sz="4" w:space="0" w:color="000000"/>
            </w:tcBorders>
          </w:tcPr>
          <w:p>
            <w:pPr>
              <w:pStyle w:val="BLKmed1st1"/>
              <w:keepNext w:val="true"/>
              <w:tabs>
                <w:tab w:val="clear" w:pos="720"/>
                <w:tab w:val="decimal" w:pos="576" w:leader="none"/>
              </w:tabs>
              <w:spacing w:before="0" w:after="0"/>
              <w:rPr/>
            </w:pPr>
            <w:r>
              <w:rPr/>
              <w:t>69</w:t>
            </w:r>
          </w:p>
        </w:tc>
      </w:tr>
      <w:tr>
        <w:trPr/>
        <w:tc>
          <w:tcPr>
            <w:tcW w:w="3744" w:type="dxa"/>
            <w:tcBorders>
              <w:start w:val="single" w:sz="4" w:space="0" w:color="000000"/>
            </w:tcBorders>
          </w:tcPr>
          <w:p>
            <w:pPr>
              <w:pStyle w:val="BLKmed1st1"/>
              <w:keepNext w:val="true"/>
              <w:spacing w:before="0" w:after="0"/>
              <w:rPr/>
            </w:pPr>
            <w:r>
              <w:rPr/>
              <w:t>Planning/IT</w:t>
            </w:r>
          </w:p>
        </w:tc>
        <w:tc>
          <w:tcPr>
            <w:tcW w:w="1008" w:type="dxa"/>
            <w:tcBorders>
              <w:end w:val="single" w:sz="4" w:space="0" w:color="000000"/>
            </w:tcBorders>
          </w:tcPr>
          <w:p>
            <w:pPr>
              <w:pStyle w:val="BLKmed1st1"/>
              <w:keepNext w:val="true"/>
              <w:tabs>
                <w:tab w:val="clear" w:pos="720"/>
                <w:tab w:val="decimal" w:pos="576" w:leader="none"/>
              </w:tabs>
              <w:spacing w:before="0" w:after="0"/>
              <w:rPr/>
            </w:pPr>
            <w:r>
              <w:rPr/>
              <w:t>4</w:t>
            </w:r>
          </w:p>
        </w:tc>
      </w:tr>
      <w:tr>
        <w:trPr/>
        <w:tc>
          <w:tcPr>
            <w:tcW w:w="3744" w:type="dxa"/>
            <w:tcBorders>
              <w:start w:val="single" w:sz="4" w:space="0" w:color="000000"/>
            </w:tcBorders>
          </w:tcPr>
          <w:p>
            <w:pPr>
              <w:pStyle w:val="BLKmed1st1"/>
              <w:keepNext w:val="true"/>
              <w:spacing w:before="0" w:after="0"/>
              <w:rPr/>
            </w:pPr>
            <w:r>
              <w:rPr/>
              <w:t>Human Resources</w:t>
            </w:r>
          </w:p>
        </w:tc>
        <w:tc>
          <w:tcPr>
            <w:tcW w:w="1008" w:type="dxa"/>
            <w:tcBorders>
              <w:end w:val="single" w:sz="4" w:space="0" w:color="000000"/>
            </w:tcBorders>
          </w:tcPr>
          <w:p>
            <w:pPr>
              <w:pStyle w:val="BLKmed1st1"/>
              <w:keepNext w:val="true"/>
              <w:tabs>
                <w:tab w:val="clear" w:pos="720"/>
                <w:tab w:val="decimal" w:pos="576" w:leader="none"/>
              </w:tabs>
              <w:spacing w:before="0" w:after="0"/>
              <w:rPr/>
            </w:pPr>
            <w:r>
              <w:rPr/>
              <w:t>48</w:t>
            </w:r>
          </w:p>
        </w:tc>
      </w:tr>
      <w:tr>
        <w:trPr/>
        <w:tc>
          <w:tcPr>
            <w:tcW w:w="3744" w:type="dxa"/>
            <w:tcBorders>
              <w:start w:val="single" w:sz="4" w:space="0" w:color="000000"/>
            </w:tcBorders>
          </w:tcPr>
          <w:p>
            <w:pPr>
              <w:pStyle w:val="BLKmed1st1"/>
              <w:keepNext w:val="true"/>
              <w:spacing w:before="0" w:after="0"/>
              <w:rPr/>
            </w:pPr>
            <w:r>
              <w:rPr/>
              <w:t>Legal</w:t>
            </w:r>
          </w:p>
        </w:tc>
        <w:tc>
          <w:tcPr>
            <w:tcW w:w="1008" w:type="dxa"/>
            <w:tcBorders>
              <w:end w:val="single" w:sz="4" w:space="0" w:color="000000"/>
            </w:tcBorders>
          </w:tcPr>
          <w:p>
            <w:pPr>
              <w:pStyle w:val="BLKmed1st1"/>
              <w:keepNext w:val="true"/>
              <w:tabs>
                <w:tab w:val="clear" w:pos="720"/>
                <w:tab w:val="decimal" w:pos="576" w:leader="none"/>
              </w:tabs>
              <w:spacing w:before="0" w:after="0"/>
              <w:rPr/>
            </w:pPr>
            <w:r>
              <w:rPr/>
              <w:t>9</w:t>
            </w:r>
          </w:p>
        </w:tc>
      </w:tr>
      <w:tr>
        <w:trPr/>
        <w:tc>
          <w:tcPr>
            <w:tcW w:w="3744" w:type="dxa"/>
            <w:tcBorders>
              <w:start w:val="single" w:sz="4" w:space="0" w:color="000000"/>
            </w:tcBorders>
          </w:tcPr>
          <w:p>
            <w:pPr>
              <w:pStyle w:val="BLKmed1st1"/>
              <w:keepNext w:val="true"/>
              <w:spacing w:before="0" w:after="0"/>
              <w:rPr/>
            </w:pPr>
            <w:r>
              <w:rPr/>
              <w:t>New Business Development</w:t>
            </w:r>
          </w:p>
        </w:tc>
        <w:tc>
          <w:tcPr>
            <w:tcW w:w="1008" w:type="dxa"/>
            <w:tcBorders>
              <w:end w:val="single" w:sz="4" w:space="0" w:color="000000"/>
            </w:tcBorders>
          </w:tcPr>
          <w:p>
            <w:pPr>
              <w:pStyle w:val="BLKmed1st1"/>
              <w:keepNext w:val="true"/>
              <w:tabs>
                <w:tab w:val="clear" w:pos="720"/>
                <w:tab w:val="decimal" w:pos="576" w:leader="none"/>
              </w:tabs>
              <w:spacing w:before="0" w:after="0"/>
              <w:rPr/>
            </w:pPr>
            <w:r>
              <w:rPr/>
              <w:t>5</w:t>
            </w:r>
          </w:p>
        </w:tc>
      </w:tr>
      <w:tr>
        <w:trPr/>
        <w:tc>
          <w:tcPr>
            <w:tcW w:w="3744" w:type="dxa"/>
            <w:tcBorders>
              <w:start w:val="single" w:sz="4" w:space="0" w:color="000000"/>
            </w:tcBorders>
          </w:tcPr>
          <w:p>
            <w:pPr>
              <w:pStyle w:val="BLKmed1st1"/>
              <w:keepNext w:val="true"/>
              <w:spacing w:before="0" w:after="0"/>
              <w:rPr/>
            </w:pPr>
            <w:r>
              <w:rPr/>
              <w:t>Technical</w:t>
            </w:r>
          </w:p>
        </w:tc>
        <w:tc>
          <w:tcPr>
            <w:tcW w:w="1008" w:type="dxa"/>
            <w:tcBorders>
              <w:end w:val="single" w:sz="4" w:space="0" w:color="000000"/>
            </w:tcBorders>
          </w:tcPr>
          <w:p>
            <w:pPr>
              <w:pStyle w:val="BLKmed1st1"/>
              <w:keepNext w:val="true"/>
              <w:tabs>
                <w:tab w:val="clear" w:pos="720"/>
                <w:tab w:val="decimal" w:pos="576" w:leader="none"/>
              </w:tabs>
              <w:spacing w:before="0" w:after="0"/>
              <w:rPr/>
            </w:pPr>
            <w:r>
              <w:rPr/>
              <w:t>257</w:t>
            </w:r>
          </w:p>
        </w:tc>
      </w:tr>
      <w:tr>
        <w:trPr/>
        <w:tc>
          <w:tcPr>
            <w:tcW w:w="3744" w:type="dxa"/>
            <w:tcBorders>
              <w:start w:val="single" w:sz="4" w:space="0" w:color="000000"/>
            </w:tcBorders>
          </w:tcPr>
          <w:p>
            <w:pPr>
              <w:pStyle w:val="BLKmed1st1"/>
              <w:keepNext w:val="true"/>
              <w:spacing w:before="0" w:after="0"/>
              <w:rPr/>
            </w:pPr>
            <w:r>
              <w:rPr/>
              <w:t>Marketing/Operations</w:t>
            </w:r>
          </w:p>
        </w:tc>
        <w:tc>
          <w:tcPr>
            <w:tcW w:w="1008" w:type="dxa"/>
            <w:tcBorders>
              <w:end w:val="single" w:sz="4" w:space="0" w:color="000000"/>
            </w:tcBorders>
          </w:tcPr>
          <w:p>
            <w:pPr>
              <w:pStyle w:val="BLKmed1st1"/>
              <w:keepNext w:val="true"/>
              <w:pBdr>
                <w:bottom w:val="single" w:sz="4" w:space="1" w:color="000000"/>
              </w:pBdr>
              <w:tabs>
                <w:tab w:val="clear" w:pos="720"/>
                <w:tab w:val="decimal" w:pos="576" w:leader="none"/>
              </w:tabs>
              <w:spacing w:before="0" w:after="0"/>
              <w:rPr/>
            </w:pPr>
            <w:r>
              <w:rPr/>
              <w:t>120</w:t>
            </w:r>
          </w:p>
        </w:tc>
      </w:tr>
      <w:tr>
        <w:trPr/>
        <w:tc>
          <w:tcPr>
            <w:tcW w:w="3744" w:type="dxa"/>
            <w:tcBorders>
              <w:start w:val="single" w:sz="4" w:space="0" w:color="000000"/>
              <w:bottom w:val="single" w:sz="4" w:space="0" w:color="000000"/>
            </w:tcBorders>
          </w:tcPr>
          <w:p>
            <w:pPr>
              <w:pStyle w:val="BLKmed1st1"/>
              <w:spacing w:before="0" w:after="0"/>
              <w:rPr>
                <w:b/>
              </w:rPr>
            </w:pPr>
            <w:r>
              <w:rPr>
                <w:b/>
              </w:rPr>
              <w:t>Total</w:t>
            </w:r>
          </w:p>
        </w:tc>
        <w:tc>
          <w:tcPr>
            <w:tcW w:w="1008" w:type="dxa"/>
            <w:tcBorders>
              <w:bottom w:val="single" w:sz="4" w:space="0" w:color="000000"/>
              <w:end w:val="single" w:sz="4" w:space="0" w:color="000000"/>
            </w:tcBorders>
          </w:tcPr>
          <w:p>
            <w:pPr>
              <w:pStyle w:val="BLKmed1st1"/>
              <w:tabs>
                <w:tab w:val="clear" w:pos="720"/>
                <w:tab w:val="decimal" w:pos="576" w:leader="none"/>
              </w:tabs>
              <w:spacing w:before="0" w:after="0"/>
              <w:rPr>
                <w:b/>
              </w:rPr>
            </w:pPr>
            <w:r>
              <w:rPr>
                <w:b/>
              </w:rPr>
              <w:t>520</w:t>
            </w:r>
          </w:p>
        </w:tc>
      </w:tr>
    </w:tbl>
    <w:p>
      <w:pPr>
        <w:pStyle w:val="BLKmed1st1"/>
        <w:tabs>
          <w:tab w:val="clear" w:pos="720"/>
          <w:tab w:val="left" w:pos="3330" w:leader="none"/>
        </w:tabs>
        <w:rPr/>
      </w:pPr>
      <w:r>
        <w:rPr/>
      </w:r>
    </w:p>
    <w:p>
      <w:pPr>
        <w:pStyle w:val="Normal"/>
        <w:rPr/>
      </w:pPr>
      <w:r>
        <w:rPr/>
        <w:t>The workforce is [     ]% unionized and is located in 6 branches and one head office.</w:t>
      </w:r>
    </w:p>
    <w:p>
      <w:pPr>
        <w:pStyle w:val="Heading3"/>
        <w:ind w:hanging="0" w:start="0"/>
        <w:rPr/>
      </w:pPr>
      <w:r>
        <w:rPr/>
        <w:t>Special Considerations</w:t>
      </w:r>
    </w:p>
    <w:p>
      <w:pPr>
        <w:pStyle w:val="Heading4"/>
        <w:ind w:hanging="0" w:start="0"/>
        <w:rPr/>
      </w:pPr>
      <w:r>
        <w:rPr/>
        <w:t>Competition Administrative Action</w:t>
      </w:r>
    </w:p>
    <w:p>
      <w:pPr>
        <w:pStyle w:val="Normal"/>
        <w:rPr/>
      </w:pPr>
      <w:r>
        <w:rPr/>
        <w:t>CEG/CEG-Rio's pricing was approved by the energy regulatory authority.  However, four of CEG/CEG-Rio 's large industrial customers have filed an administrative complaint with CADE, the competition regulatory authority, alleging that CEG/CEG-Rio has engaged in abusive pricing.  CADE has issued a temporary order preventing CEG/CEG-Rio from collecting its distribution margin.  No decision on the merits of the complaint has yet been made.  CEG/CEG-Rio is currently submitting additional information to CADE.  Although Enron believes that CEG/CEG-Rio should prevail in this action, no assurance can be given.  If CEG/CEG-Rio ultimately is found to have violated the competition law, it would not be able to recover its lost revenues (approximately US$9 million 8/8ths for the past two years), however, CEG/CEG-Rio does not believe that any additional penalty would be imposed.</w:t>
      </w:r>
    </w:p>
    <w:p>
      <w:pPr>
        <w:pStyle w:val="Heading4"/>
        <w:ind w:hanging="0" w:start="0"/>
        <w:rPr/>
      </w:pPr>
      <w:r>
        <w:rPr/>
        <w:t>Unfunded Retirement Plan</w:t>
      </w:r>
    </w:p>
    <w:p>
      <w:pPr>
        <w:pStyle w:val="Normal"/>
        <w:rPr/>
      </w:pPr>
      <w:r>
        <w:rPr/>
        <w:t>[The [Edital] requires the acquiring company to maintain CEG/CEG-Rio’s retirement plan.  This plan is currently unfunded and there are disputes relating to the funding and the management of the plan. CEG/CEG-Rio has estimated the liability associated with the unfunded plan to be up to $35 million.  Much of the liability associated with the unfunded plan existed before the privatization, and CEG/CEG-Rio believes that it may be entitled to tax credits or other state support to cover the pre-existing portion of the liability</w:t>
      </w:r>
    </w:p>
    <w:p>
      <w:pPr>
        <w:pStyle w:val="Heading3"/>
        <w:ind w:hanging="0" w:start="0"/>
        <w:rPr/>
      </w:pPr>
      <w:r>
        <w:rPr/>
        <w:t>Financial Information</w:t>
      </w:r>
    </w:p>
    <w:p>
      <w:pPr>
        <w:pStyle w:val="Normal"/>
        <w:rPr/>
      </w:pPr>
      <w:r>
        <w:rPr/>
      </w:r>
    </w:p>
    <w:p>
      <w:pPr>
        <w:pStyle w:val="Heading4"/>
        <w:ind w:hanging="0" w:start="0"/>
        <w:rPr/>
      </w:pPr>
      <w:r>
        <w:rPr/>
        <w:t>Introduction</w:t>
      </w:r>
    </w:p>
    <w:p>
      <w:pPr>
        <w:pStyle w:val="Normal"/>
        <w:rPr/>
      </w:pPr>
      <w:r>
        <w:rPr/>
      </w:r>
    </w:p>
    <w:p>
      <w:pPr>
        <w:pStyle w:val="Heading4"/>
        <w:ind w:hanging="0" w:start="0"/>
        <w:rPr/>
      </w:pPr>
      <w:r>
        <w:rPr/>
        <w:t>Review of Historical Results (BS+P&amp;L)</w:t>
      </w:r>
    </w:p>
    <w:p>
      <w:pPr>
        <w:pStyle w:val="Normal"/>
        <w:rPr/>
      </w:pPr>
      <w:r>
        <w:rPr/>
      </w:r>
    </w:p>
    <w:p>
      <w:pPr>
        <w:pStyle w:val="Heading4"/>
        <w:ind w:hanging="0" w:start="0"/>
        <w:rPr/>
      </w:pPr>
      <w:r>
        <w:rPr/>
        <w:t>Projections</w:t>
      </w:r>
    </w:p>
    <w:p>
      <w:pPr>
        <w:pStyle w:val="Normal"/>
        <w:rPr/>
      </w:pPr>
      <w:r>
        <w:rPr/>
      </w:r>
    </w:p>
    <w:p>
      <w:pPr>
        <w:pStyle w:val="Heading5"/>
        <w:rPr/>
      </w:pPr>
      <w:r>
        <w:rPr/>
        <w:t>Key Assumptions</w:t>
      </w:r>
    </w:p>
    <w:p>
      <w:pPr>
        <w:pStyle w:val="Normal"/>
        <w:rPr/>
      </w:pPr>
      <w:r>
        <w:rPr/>
      </w:r>
    </w:p>
    <w:p>
      <w:pPr>
        <w:pStyle w:val="Heading5"/>
        <w:rPr/>
      </w:pPr>
      <w:r>
        <w:rPr/>
        <w:t>Results</w:t>
      </w:r>
    </w:p>
    <w:p>
      <w:pPr>
        <w:pStyle w:val="Normal"/>
        <w:rPr/>
      </w:pPr>
      <w:r>
        <w:rPr/>
      </w:r>
    </w:p>
    <w:p>
      <w:pPr>
        <w:pStyle w:val="Heading4"/>
        <w:ind w:hanging="0" w:start="0"/>
        <w:rPr/>
      </w:pPr>
      <w:r>
        <w:rPr/>
        <w:t>Historical and Projected Financial Data</w:t>
      </w:r>
    </w:p>
    <w:p>
      <w:pPr>
        <w:pStyle w:val="Heading2"/>
        <w:ind w:hanging="0" w:start="0"/>
        <w:rPr/>
      </w:pPr>
      <w:r>
        <w:rPr/>
        <w:t>Gaspart</w:t>
      </w:r>
    </w:p>
    <w:p>
      <w:pPr>
        <w:pStyle w:val="Heading3"/>
        <w:ind w:hanging="0" w:start="0"/>
        <w:rPr/>
      </w:pPr>
      <w:r>
        <w:rPr/>
        <w:t>Description of Assets</w:t>
      </w:r>
    </w:p>
    <w:p>
      <w:pPr>
        <w:pStyle w:val="Heading4"/>
        <w:ind w:hanging="0" w:start="0"/>
        <w:rPr/>
      </w:pPr>
      <w:r>
        <w:rPr/>
        <w:t>Overview</w:t>
      </w:r>
    </w:p>
    <w:p>
      <w:pPr>
        <w:pStyle w:val="Normal"/>
        <w:rPr/>
      </w:pPr>
      <w:r>
        <w:rPr/>
        <w:t>Enron acquired 100% of the equity and management control of Gaspart in November 1997.  Gaspart is a holding company which has co-controlling equity stakes in seven gas distribution concessions (the “Gaspart LDCs”) in Brazil, five in the northeast (in the states of Bahia, Sergipe, Alagoas, Pernambuco and Paraiba) and the two in the south (in the states of Paraná and Santa Catarina).  Each distribution company holds a state-wide, exclusive and renewable concession for all industrial, commercial and residential markets for 50 years. As at December, the Gaspart LDCs had 141 industrial customers with total sales of 4.0 MMcm/d in 1999.  The Gaspart LDC service territories contain a total population of approximately 43 million.</w:t>
      </w:r>
    </w:p>
    <w:p>
      <w:pPr>
        <w:pStyle w:val="Heading4"/>
        <w:ind w:hanging="0" w:start="0"/>
        <w:rPr/>
      </w:pPr>
      <w:r>
        <w:rPr/>
        <w:t>Physical Network</w:t>
      </w:r>
    </w:p>
    <w:p>
      <w:pPr>
        <w:pStyle w:val="Heading5"/>
        <w:rPr/>
      </w:pPr>
      <w:r>
        <w:rPr/>
        <w:t>Pipes</w:t>
      </w:r>
    </w:p>
    <w:p>
      <w:pPr>
        <w:pStyle w:val="Normal"/>
        <w:spacing w:before="0" w:after="160"/>
        <w:rPr/>
      </w:pPr>
      <w:r>
        <w:rPr/>
        <w:t>The table below summarizes the current Gaspart LDC networks:</w:t>
      </w:r>
    </w:p>
    <w:tbl>
      <w:tblPr>
        <w:tblW w:w="6696" w:type="dxa"/>
        <w:jc w:val="start"/>
        <w:tblInd w:w="0" w:type="dxa"/>
        <w:tblLayout w:type="fixed"/>
        <w:tblCellMar>
          <w:top w:w="0" w:type="dxa"/>
          <w:start w:w="108" w:type="dxa"/>
          <w:bottom w:w="0" w:type="dxa"/>
          <w:end w:w="108" w:type="dxa"/>
        </w:tblCellMar>
      </w:tblPr>
      <w:tblGrid>
        <w:gridCol w:w="919"/>
        <w:gridCol w:w="867"/>
        <w:gridCol w:w="1104"/>
        <w:gridCol w:w="978"/>
        <w:gridCol w:w="1118"/>
        <w:gridCol w:w="838"/>
        <w:gridCol w:w="872"/>
      </w:tblGrid>
      <w:tr>
        <w:trPr/>
        <w:tc>
          <w:tcPr>
            <w:tcW w:w="919" w:type="dxa"/>
            <w:tcBorders>
              <w:top w:val="single" w:sz="2" w:space="0" w:color="000000"/>
              <w:start w:val="single" w:sz="2" w:space="0" w:color="000000"/>
            </w:tcBorders>
            <w:shd w:fill="FFFF00" w:val="clear"/>
          </w:tcPr>
          <w:p>
            <w:pPr>
              <w:pStyle w:val="Normal"/>
              <w:snapToGrid w:val="false"/>
              <w:spacing w:before="0" w:after="0"/>
              <w:rPr>
                <w:rFonts w:ascii="Arial Narrow" w:hAnsi="Arial Narrow" w:cs="Arial Narrow"/>
                <w:b/>
                <w:sz w:val="16"/>
              </w:rPr>
            </w:pPr>
            <w:r>
              <w:rPr>
                <w:rFonts w:cs="Arial Narrow" w:ascii="Arial Narrow" w:hAnsi="Arial Narrow"/>
                <w:b/>
                <w:sz w:val="16"/>
              </w:rPr>
            </w:r>
          </w:p>
        </w:tc>
        <w:tc>
          <w:tcPr>
            <w:tcW w:w="867" w:type="dxa"/>
            <w:tcBorders>
              <w:top w:val="single" w:sz="2" w:space="0" w:color="000000"/>
            </w:tcBorders>
            <w:shd w:fill="FFFF00" w:val="clear"/>
          </w:tcPr>
          <w:p>
            <w:pPr>
              <w:pStyle w:val="Normal"/>
              <w:snapToGrid w:val="false"/>
              <w:spacing w:before="0" w:after="0"/>
              <w:rPr>
                <w:rFonts w:ascii="Arial Narrow" w:hAnsi="Arial Narrow" w:cs="Arial Narrow"/>
                <w:b/>
                <w:sz w:val="16"/>
              </w:rPr>
            </w:pPr>
            <w:r>
              <w:rPr>
                <w:rFonts w:cs="Arial Narrow" w:ascii="Arial Narrow" w:hAnsi="Arial Narrow"/>
                <w:b/>
                <w:sz w:val="16"/>
              </w:rPr>
            </w:r>
          </w:p>
        </w:tc>
        <w:tc>
          <w:tcPr>
            <w:tcW w:w="1104" w:type="dxa"/>
            <w:tcBorders>
              <w:top w:val="single" w:sz="2" w:space="0" w:color="000000"/>
            </w:tcBorders>
            <w:shd w:fill="FFFF00" w:val="clear"/>
          </w:tcPr>
          <w:p>
            <w:pPr>
              <w:pStyle w:val="Normal"/>
              <w:snapToGrid w:val="false"/>
              <w:spacing w:before="0" w:after="0"/>
              <w:rPr>
                <w:rFonts w:ascii="Arial Narrow" w:hAnsi="Arial Narrow" w:cs="Arial Narrow"/>
                <w:b/>
                <w:sz w:val="16"/>
              </w:rPr>
            </w:pPr>
            <w:r>
              <w:rPr>
                <w:rFonts w:cs="Arial Narrow" w:ascii="Arial Narrow" w:hAnsi="Arial Narrow"/>
                <w:b/>
                <w:sz w:val="16"/>
              </w:rPr>
            </w:r>
          </w:p>
        </w:tc>
        <w:tc>
          <w:tcPr>
            <w:tcW w:w="2096" w:type="dxa"/>
            <w:gridSpan w:val="2"/>
            <w:tcBorders>
              <w:top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Diameter</w:t>
            </w:r>
          </w:p>
        </w:tc>
        <w:tc>
          <w:tcPr>
            <w:tcW w:w="838" w:type="dxa"/>
            <w:tcBorders>
              <w:top w:val="single" w:sz="2" w:space="0" w:color="000000"/>
            </w:tcBorders>
            <w:shd w:fill="FFFF00" w:val="clear"/>
          </w:tcPr>
          <w:p>
            <w:pPr>
              <w:pStyle w:val="Normal"/>
              <w:snapToGrid w:val="false"/>
              <w:spacing w:before="0" w:after="0"/>
              <w:rPr>
                <w:rFonts w:ascii="Arial Narrow" w:hAnsi="Arial Narrow" w:cs="Arial Narrow"/>
                <w:b/>
                <w:sz w:val="16"/>
              </w:rPr>
            </w:pPr>
            <w:r>
              <w:rPr>
                <w:rFonts w:cs="Arial Narrow" w:ascii="Arial Narrow" w:hAnsi="Arial Narrow"/>
                <w:b/>
                <w:sz w:val="16"/>
              </w:rPr>
            </w:r>
          </w:p>
        </w:tc>
        <w:tc>
          <w:tcPr>
            <w:tcW w:w="872" w:type="dxa"/>
            <w:tcBorders>
              <w:top w:val="single" w:sz="2" w:space="0" w:color="000000"/>
              <w:end w:val="single" w:sz="2" w:space="0" w:color="000000"/>
            </w:tcBorders>
            <w:shd w:fill="FFFF00" w:val="clear"/>
          </w:tcPr>
          <w:p>
            <w:pPr>
              <w:pStyle w:val="Normal"/>
              <w:snapToGrid w:val="false"/>
              <w:spacing w:before="0" w:after="0"/>
              <w:rPr>
                <w:rFonts w:ascii="Arial Narrow" w:hAnsi="Arial Narrow" w:cs="Arial Narrow"/>
                <w:b/>
                <w:sz w:val="16"/>
              </w:rPr>
            </w:pPr>
            <w:r>
              <w:rPr>
                <w:rFonts w:cs="Arial Narrow" w:ascii="Arial Narrow" w:hAnsi="Arial Narrow"/>
                <w:b/>
                <w:sz w:val="16"/>
              </w:rPr>
            </w:r>
          </w:p>
        </w:tc>
      </w:tr>
      <w:tr>
        <w:trPr/>
        <w:tc>
          <w:tcPr>
            <w:tcW w:w="919" w:type="dxa"/>
            <w:tcBorders>
              <w:start w:val="single" w:sz="2" w:space="0" w:color="000000"/>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Company</w:t>
            </w:r>
          </w:p>
        </w:tc>
        <w:tc>
          <w:tcPr>
            <w:tcW w:w="867" w:type="dxa"/>
            <w:tcBorders>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Pipes Steel</w:t>
            </w:r>
          </w:p>
        </w:tc>
        <w:tc>
          <w:tcPr>
            <w:tcW w:w="1104" w:type="dxa"/>
            <w:tcBorders>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(km) Polyethylene</w:t>
            </w:r>
          </w:p>
        </w:tc>
        <w:tc>
          <w:tcPr>
            <w:tcW w:w="978" w:type="dxa"/>
            <w:tcBorders>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Steel</w:t>
            </w:r>
          </w:p>
        </w:tc>
        <w:tc>
          <w:tcPr>
            <w:tcW w:w="1118" w:type="dxa"/>
            <w:tcBorders>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Polyethylene</w:t>
            </w:r>
          </w:p>
        </w:tc>
        <w:tc>
          <w:tcPr>
            <w:tcW w:w="838" w:type="dxa"/>
            <w:tcBorders>
              <w:bottom w:val="single" w:sz="2" w:space="0" w:color="000000"/>
            </w:tcBorders>
            <w:shd w:fill="FFFF00" w:val="clear"/>
            <w:vAlign w:val="bottom"/>
          </w:tcPr>
          <w:p>
            <w:pPr>
              <w:pStyle w:val="Normal"/>
              <w:spacing w:before="0" w:after="0"/>
              <w:jc w:val="center"/>
              <w:rPr/>
            </w:pPr>
            <w:r>
              <w:rPr>
                <w:rFonts w:cs="Arial Narrow" w:ascii="Arial Narrow" w:hAnsi="Arial Narrow"/>
                <w:b/>
                <w:sz w:val="16"/>
              </w:rPr>
              <w:t>Pressure (kgf/cm</w:t>
            </w:r>
            <w:r>
              <w:rPr>
                <w:rFonts w:cs="Arial Narrow" w:ascii="Arial Narrow" w:hAnsi="Arial Narrow"/>
                <w:b/>
                <w:sz w:val="16"/>
                <w:vertAlign w:val="superscript"/>
              </w:rPr>
              <w:t>2)</w:t>
            </w:r>
          </w:p>
        </w:tc>
        <w:tc>
          <w:tcPr>
            <w:tcW w:w="872" w:type="dxa"/>
            <w:tcBorders>
              <w:bottom w:val="single" w:sz="2" w:space="0" w:color="000000"/>
              <w:end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Citygates</w:t>
            </w:r>
          </w:p>
        </w:tc>
      </w:tr>
      <w:tr>
        <w:trPr/>
        <w:tc>
          <w:tcPr>
            <w:tcW w:w="91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Bahiagás</w:t>
            </w:r>
          </w:p>
        </w:tc>
        <w:tc>
          <w:tcPr>
            <w:tcW w:w="867" w:type="dxa"/>
            <w:tcBorders/>
          </w:tcPr>
          <w:p>
            <w:pPr>
              <w:pStyle w:val="Normal"/>
              <w:spacing w:before="0" w:after="0"/>
              <w:jc w:val="center"/>
              <w:rPr>
                <w:rFonts w:ascii="Arial Narrow" w:hAnsi="Arial Narrow" w:cs="Arial Narrow"/>
                <w:sz w:val="16"/>
              </w:rPr>
            </w:pPr>
            <w:r>
              <w:rPr>
                <w:rFonts w:cs="Arial Narrow" w:ascii="Arial Narrow" w:hAnsi="Arial Narrow"/>
                <w:sz w:val="16"/>
              </w:rPr>
              <w:t>100</w:t>
            </w:r>
          </w:p>
        </w:tc>
        <w:tc>
          <w:tcPr>
            <w:tcW w:w="1104"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978" w:type="dxa"/>
            <w:tcBorders/>
          </w:tcPr>
          <w:p>
            <w:pPr>
              <w:pStyle w:val="Normal"/>
              <w:spacing w:before="0" w:after="0"/>
              <w:jc w:val="center"/>
              <w:rPr>
                <w:rFonts w:ascii="Arial Narrow" w:hAnsi="Arial Narrow" w:cs="Arial Narrow"/>
                <w:sz w:val="16"/>
              </w:rPr>
            </w:pPr>
            <w:r>
              <w:rPr>
                <w:rFonts w:cs="Arial Narrow" w:ascii="Arial Narrow" w:hAnsi="Arial Narrow"/>
                <w:sz w:val="16"/>
              </w:rPr>
              <w:t>1-14 in</w:t>
            </w:r>
          </w:p>
        </w:tc>
        <w:tc>
          <w:tcPr>
            <w:tcW w:w="1118"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838" w:type="dxa"/>
            <w:tcBorders/>
          </w:tcPr>
          <w:p>
            <w:pPr>
              <w:pStyle w:val="Normal"/>
              <w:spacing w:before="0" w:after="0"/>
              <w:jc w:val="center"/>
              <w:rPr>
                <w:rFonts w:ascii="Arial Narrow" w:hAnsi="Arial Narrow" w:cs="Arial Narrow"/>
                <w:sz w:val="16"/>
              </w:rPr>
            </w:pPr>
            <w:r>
              <w:rPr>
                <w:rFonts w:cs="Arial Narrow" w:ascii="Arial Narrow" w:hAnsi="Arial Narrow"/>
                <w:sz w:val="16"/>
              </w:rPr>
              <w:t>16-32</w:t>
            </w:r>
          </w:p>
        </w:tc>
        <w:tc>
          <w:tcPr>
            <w:tcW w:w="872" w:type="dxa"/>
            <w:tcBorders>
              <w:end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 ]</w:t>
            </w:r>
          </w:p>
        </w:tc>
      </w:tr>
      <w:tr>
        <w:trPr/>
        <w:tc>
          <w:tcPr>
            <w:tcW w:w="91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Copergás</w:t>
            </w:r>
          </w:p>
        </w:tc>
        <w:tc>
          <w:tcPr>
            <w:tcW w:w="867" w:type="dxa"/>
            <w:tcBorders/>
          </w:tcPr>
          <w:p>
            <w:pPr>
              <w:pStyle w:val="Normal"/>
              <w:spacing w:before="0" w:after="0"/>
              <w:jc w:val="center"/>
              <w:rPr>
                <w:rFonts w:ascii="Arial Narrow" w:hAnsi="Arial Narrow" w:cs="Arial Narrow"/>
                <w:sz w:val="16"/>
              </w:rPr>
            </w:pPr>
            <w:r>
              <w:rPr>
                <w:rFonts w:cs="Arial Narrow" w:ascii="Arial Narrow" w:hAnsi="Arial Narrow"/>
                <w:sz w:val="16"/>
              </w:rPr>
              <w:t>157</w:t>
            </w:r>
          </w:p>
        </w:tc>
        <w:tc>
          <w:tcPr>
            <w:tcW w:w="1104"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978" w:type="dxa"/>
            <w:tcBorders/>
          </w:tcPr>
          <w:p>
            <w:pPr>
              <w:pStyle w:val="Normal"/>
              <w:spacing w:before="0" w:after="0"/>
              <w:jc w:val="center"/>
              <w:rPr>
                <w:rFonts w:ascii="Arial Narrow" w:hAnsi="Arial Narrow" w:cs="Arial Narrow"/>
                <w:sz w:val="16"/>
              </w:rPr>
            </w:pPr>
            <w:r>
              <w:rPr>
                <w:rFonts w:cs="Arial Narrow" w:ascii="Arial Narrow" w:hAnsi="Arial Narrow"/>
                <w:sz w:val="16"/>
              </w:rPr>
              <w:t>2-8 in</w:t>
            </w:r>
          </w:p>
        </w:tc>
        <w:tc>
          <w:tcPr>
            <w:tcW w:w="1118"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838" w:type="dxa"/>
            <w:tcBorders/>
          </w:tcPr>
          <w:p>
            <w:pPr>
              <w:pStyle w:val="Normal"/>
              <w:spacing w:before="0" w:after="0"/>
              <w:jc w:val="center"/>
              <w:rPr>
                <w:rFonts w:ascii="Arial Narrow" w:hAnsi="Arial Narrow" w:cs="Arial Narrow"/>
                <w:sz w:val="16"/>
              </w:rPr>
            </w:pPr>
            <w:r>
              <w:rPr>
                <w:rFonts w:cs="Arial Narrow" w:ascii="Arial Narrow" w:hAnsi="Arial Narrow"/>
                <w:sz w:val="16"/>
              </w:rPr>
              <w:t>8-23</w:t>
            </w:r>
          </w:p>
        </w:tc>
        <w:tc>
          <w:tcPr>
            <w:tcW w:w="872" w:type="dxa"/>
            <w:tcBorders>
              <w:end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7</w:t>
            </w:r>
          </w:p>
        </w:tc>
      </w:tr>
      <w:tr>
        <w:trPr/>
        <w:tc>
          <w:tcPr>
            <w:tcW w:w="91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Algás</w:t>
            </w:r>
          </w:p>
        </w:tc>
        <w:tc>
          <w:tcPr>
            <w:tcW w:w="867" w:type="dxa"/>
            <w:tcBorders/>
          </w:tcPr>
          <w:p>
            <w:pPr>
              <w:pStyle w:val="Normal"/>
              <w:spacing w:before="0" w:after="0"/>
              <w:jc w:val="center"/>
              <w:rPr>
                <w:rFonts w:ascii="Arial Narrow" w:hAnsi="Arial Narrow" w:cs="Arial Narrow"/>
                <w:sz w:val="16"/>
              </w:rPr>
            </w:pPr>
            <w:r>
              <w:rPr>
                <w:rFonts w:cs="Arial Narrow" w:ascii="Arial Narrow" w:hAnsi="Arial Narrow"/>
                <w:sz w:val="16"/>
              </w:rPr>
              <w:t>67</w:t>
            </w:r>
          </w:p>
        </w:tc>
        <w:tc>
          <w:tcPr>
            <w:tcW w:w="1104"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978" w:type="dxa"/>
            <w:tcBorders/>
          </w:tcPr>
          <w:p>
            <w:pPr>
              <w:pStyle w:val="Normal"/>
              <w:spacing w:before="0" w:after="0"/>
              <w:jc w:val="center"/>
              <w:rPr>
                <w:rFonts w:ascii="Arial Narrow" w:hAnsi="Arial Narrow" w:cs="Arial Narrow"/>
                <w:sz w:val="16"/>
              </w:rPr>
            </w:pPr>
            <w:r>
              <w:rPr>
                <w:rFonts w:cs="Arial Narrow" w:ascii="Arial Narrow" w:hAnsi="Arial Narrow"/>
                <w:sz w:val="16"/>
              </w:rPr>
              <w:t>4-6 in</w:t>
            </w:r>
          </w:p>
        </w:tc>
        <w:tc>
          <w:tcPr>
            <w:tcW w:w="1118"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838" w:type="dxa"/>
            <w:tcBorders/>
          </w:tcPr>
          <w:p>
            <w:pPr>
              <w:pStyle w:val="Normal"/>
              <w:spacing w:before="0" w:after="0"/>
              <w:jc w:val="center"/>
              <w:rPr>
                <w:rFonts w:ascii="Arial Narrow" w:hAnsi="Arial Narrow" w:cs="Arial Narrow"/>
                <w:sz w:val="16"/>
              </w:rPr>
            </w:pPr>
            <w:r>
              <w:rPr>
                <w:rFonts w:cs="Arial Narrow" w:ascii="Arial Narrow" w:hAnsi="Arial Narrow"/>
                <w:sz w:val="16"/>
              </w:rPr>
              <w:t>3.5-20</w:t>
            </w:r>
          </w:p>
        </w:tc>
        <w:tc>
          <w:tcPr>
            <w:tcW w:w="872" w:type="dxa"/>
            <w:tcBorders>
              <w:end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6</w:t>
            </w:r>
          </w:p>
        </w:tc>
      </w:tr>
      <w:tr>
        <w:trPr/>
        <w:tc>
          <w:tcPr>
            <w:tcW w:w="91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Emsergás</w:t>
            </w:r>
          </w:p>
        </w:tc>
        <w:tc>
          <w:tcPr>
            <w:tcW w:w="867" w:type="dxa"/>
            <w:tcBorders/>
          </w:tcPr>
          <w:p>
            <w:pPr>
              <w:pStyle w:val="Normal"/>
              <w:spacing w:before="0" w:after="0"/>
              <w:jc w:val="center"/>
              <w:rPr>
                <w:rFonts w:ascii="Arial Narrow" w:hAnsi="Arial Narrow" w:cs="Arial Narrow"/>
                <w:sz w:val="16"/>
              </w:rPr>
            </w:pPr>
            <w:r>
              <w:rPr>
                <w:rFonts w:cs="Arial Narrow" w:ascii="Arial Narrow" w:hAnsi="Arial Narrow"/>
                <w:sz w:val="16"/>
              </w:rPr>
              <w:t>43</w:t>
            </w:r>
          </w:p>
        </w:tc>
        <w:tc>
          <w:tcPr>
            <w:tcW w:w="1104"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978" w:type="dxa"/>
            <w:tcBorders/>
          </w:tcPr>
          <w:p>
            <w:pPr>
              <w:pStyle w:val="Normal"/>
              <w:spacing w:before="0" w:after="0"/>
              <w:jc w:val="center"/>
              <w:rPr>
                <w:rFonts w:ascii="Arial Narrow" w:hAnsi="Arial Narrow" w:cs="Arial Narrow"/>
                <w:sz w:val="16"/>
              </w:rPr>
            </w:pPr>
            <w:r>
              <w:rPr>
                <w:rFonts w:cs="Arial Narrow" w:ascii="Arial Narrow" w:hAnsi="Arial Narrow"/>
                <w:sz w:val="16"/>
              </w:rPr>
              <w:t>2-6 in</w:t>
            </w:r>
          </w:p>
        </w:tc>
        <w:tc>
          <w:tcPr>
            <w:tcW w:w="1118"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838" w:type="dxa"/>
            <w:tcBorders/>
          </w:tcPr>
          <w:p>
            <w:pPr>
              <w:pStyle w:val="Normal"/>
              <w:spacing w:before="0" w:after="0"/>
              <w:jc w:val="center"/>
              <w:rPr>
                <w:rFonts w:ascii="Arial Narrow" w:hAnsi="Arial Narrow" w:cs="Arial Narrow"/>
                <w:sz w:val="16"/>
              </w:rPr>
            </w:pPr>
            <w:r>
              <w:rPr>
                <w:rFonts w:cs="Arial Narrow" w:ascii="Arial Narrow" w:hAnsi="Arial Narrow"/>
                <w:sz w:val="16"/>
              </w:rPr>
              <w:t>4-50</w:t>
            </w:r>
          </w:p>
        </w:tc>
        <w:tc>
          <w:tcPr>
            <w:tcW w:w="872" w:type="dxa"/>
            <w:tcBorders>
              <w:end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6</w:t>
            </w:r>
          </w:p>
        </w:tc>
      </w:tr>
      <w:tr>
        <w:trPr/>
        <w:tc>
          <w:tcPr>
            <w:tcW w:w="91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PBGás</w:t>
            </w:r>
          </w:p>
        </w:tc>
        <w:tc>
          <w:tcPr>
            <w:tcW w:w="867" w:type="dxa"/>
            <w:tcBorders/>
          </w:tcPr>
          <w:p>
            <w:pPr>
              <w:pStyle w:val="Normal"/>
              <w:spacing w:before="0" w:after="0"/>
              <w:jc w:val="center"/>
              <w:rPr>
                <w:rFonts w:ascii="Arial Narrow" w:hAnsi="Arial Narrow" w:cs="Arial Narrow"/>
                <w:sz w:val="16"/>
              </w:rPr>
            </w:pPr>
            <w:r>
              <w:rPr>
                <w:rFonts w:cs="Arial Narrow" w:ascii="Arial Narrow" w:hAnsi="Arial Narrow"/>
                <w:sz w:val="16"/>
              </w:rPr>
              <w:t>32</w:t>
            </w:r>
          </w:p>
        </w:tc>
        <w:tc>
          <w:tcPr>
            <w:tcW w:w="1104"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978" w:type="dxa"/>
            <w:tcBorders/>
          </w:tcPr>
          <w:p>
            <w:pPr>
              <w:pStyle w:val="Normal"/>
              <w:spacing w:before="0" w:after="0"/>
              <w:jc w:val="center"/>
              <w:rPr>
                <w:rFonts w:ascii="Arial Narrow" w:hAnsi="Arial Narrow" w:cs="Arial Narrow"/>
                <w:sz w:val="16"/>
              </w:rPr>
            </w:pPr>
            <w:r>
              <w:rPr>
                <w:rFonts w:cs="Arial Narrow" w:ascii="Arial Narrow" w:hAnsi="Arial Narrow"/>
                <w:sz w:val="16"/>
              </w:rPr>
              <w:t>1-8 in</w:t>
            </w:r>
          </w:p>
        </w:tc>
        <w:tc>
          <w:tcPr>
            <w:tcW w:w="1118"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838" w:type="dxa"/>
            <w:tcBorders/>
          </w:tcPr>
          <w:p>
            <w:pPr>
              <w:pStyle w:val="Normal"/>
              <w:spacing w:before="0" w:after="0"/>
              <w:jc w:val="center"/>
              <w:rPr>
                <w:rFonts w:ascii="Arial Narrow" w:hAnsi="Arial Narrow" w:cs="Arial Narrow"/>
                <w:sz w:val="16"/>
              </w:rPr>
            </w:pPr>
            <w:r>
              <w:rPr>
                <w:rFonts w:cs="Arial Narrow" w:ascii="Arial Narrow" w:hAnsi="Arial Narrow"/>
                <w:sz w:val="16"/>
              </w:rPr>
              <w:t>7-30</w:t>
            </w:r>
          </w:p>
        </w:tc>
        <w:tc>
          <w:tcPr>
            <w:tcW w:w="872" w:type="dxa"/>
            <w:tcBorders>
              <w:end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1</w:t>
            </w:r>
          </w:p>
        </w:tc>
      </w:tr>
      <w:tr>
        <w:trPr/>
        <w:tc>
          <w:tcPr>
            <w:tcW w:w="91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Compagás</w:t>
            </w:r>
          </w:p>
        </w:tc>
        <w:tc>
          <w:tcPr>
            <w:tcW w:w="867" w:type="dxa"/>
            <w:tcBorders/>
          </w:tcPr>
          <w:p>
            <w:pPr>
              <w:pStyle w:val="Normal"/>
              <w:spacing w:before="0" w:after="0"/>
              <w:jc w:val="center"/>
              <w:rPr>
                <w:rFonts w:ascii="Arial Narrow" w:hAnsi="Arial Narrow" w:cs="Arial Narrow"/>
                <w:sz w:val="16"/>
              </w:rPr>
            </w:pPr>
            <w:r>
              <w:rPr>
                <w:rFonts w:cs="Arial Narrow" w:ascii="Arial Narrow" w:hAnsi="Arial Narrow"/>
                <w:sz w:val="16"/>
              </w:rPr>
              <w:t>95</w:t>
            </w:r>
          </w:p>
        </w:tc>
        <w:tc>
          <w:tcPr>
            <w:tcW w:w="1104" w:type="dxa"/>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978" w:type="dxa"/>
            <w:tcBorders/>
          </w:tcPr>
          <w:p>
            <w:pPr>
              <w:pStyle w:val="Normal"/>
              <w:spacing w:before="0" w:after="0"/>
              <w:jc w:val="center"/>
              <w:rPr>
                <w:rFonts w:ascii="Arial Narrow" w:hAnsi="Arial Narrow" w:cs="Arial Narrow"/>
                <w:sz w:val="16"/>
              </w:rPr>
            </w:pPr>
            <w:r>
              <w:rPr>
                <w:rFonts w:cs="Arial Narrow" w:ascii="Arial Narrow" w:hAnsi="Arial Narrow"/>
                <w:sz w:val="16"/>
              </w:rPr>
              <w:t>4-10 in</w:t>
            </w:r>
          </w:p>
        </w:tc>
        <w:tc>
          <w:tcPr>
            <w:tcW w:w="1118" w:type="dxa"/>
            <w:tcBorders/>
          </w:tcPr>
          <w:p>
            <w:pPr>
              <w:pStyle w:val="Normal"/>
              <w:spacing w:before="0" w:after="0"/>
              <w:jc w:val="center"/>
              <w:rPr>
                <w:rFonts w:ascii="Arial Narrow" w:hAnsi="Arial Narrow" w:cs="Arial Narrow"/>
                <w:sz w:val="16"/>
              </w:rPr>
            </w:pPr>
            <w:r>
              <w:rPr>
                <w:rFonts w:cs="Arial Narrow" w:ascii="Arial Narrow" w:hAnsi="Arial Narrow"/>
                <w:sz w:val="16"/>
              </w:rPr>
              <w:t>63-160 mm</w:t>
            </w:r>
          </w:p>
        </w:tc>
        <w:tc>
          <w:tcPr>
            <w:tcW w:w="838" w:type="dxa"/>
            <w:tcBorders/>
          </w:tcPr>
          <w:p>
            <w:pPr>
              <w:pStyle w:val="Normal"/>
              <w:spacing w:before="0" w:after="0"/>
              <w:jc w:val="center"/>
              <w:rPr>
                <w:rFonts w:ascii="Arial Narrow" w:hAnsi="Arial Narrow" w:cs="Arial Narrow"/>
                <w:sz w:val="16"/>
              </w:rPr>
            </w:pPr>
            <w:r>
              <w:rPr>
                <w:rFonts w:cs="Arial Narrow" w:ascii="Arial Narrow" w:hAnsi="Arial Narrow"/>
                <w:sz w:val="16"/>
              </w:rPr>
              <w:t>4-35</w:t>
            </w:r>
          </w:p>
        </w:tc>
        <w:tc>
          <w:tcPr>
            <w:tcW w:w="872" w:type="dxa"/>
            <w:tcBorders>
              <w:end w:val="single" w:sz="2" w:space="0" w:color="000000"/>
            </w:tcBorders>
          </w:tcPr>
          <w:p>
            <w:pPr>
              <w:pStyle w:val="Normal"/>
              <w:spacing w:before="0" w:after="0"/>
              <w:jc w:val="center"/>
              <w:rPr/>
            </w:pPr>
            <w:r>
              <w:rPr>
                <w:rFonts w:cs="Arial Narrow" w:ascii="Arial Narrow" w:hAnsi="Arial Narrow"/>
                <w:sz w:val="16"/>
              </w:rPr>
              <w:t xml:space="preserve">3 </w:t>
            </w:r>
            <w:r>
              <w:rPr>
                <w:rFonts w:cs="Arial Narrow" w:ascii="Arial Narrow" w:hAnsi="Arial Narrow"/>
                <w:sz w:val="16"/>
                <w:vertAlign w:val="superscript"/>
              </w:rPr>
              <w:t>(1)</w:t>
            </w:r>
          </w:p>
        </w:tc>
      </w:tr>
      <w:tr>
        <w:trPr/>
        <w:tc>
          <w:tcPr>
            <w:tcW w:w="919" w:type="dxa"/>
            <w:tcBorders>
              <w:start w:val="single" w:sz="2" w:space="0" w:color="000000"/>
              <w:bottom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 xml:space="preserve">SCGás </w:t>
            </w:r>
          </w:p>
        </w:tc>
        <w:tc>
          <w:tcPr>
            <w:tcW w:w="867"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1104"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978"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1118"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838"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872" w:type="dxa"/>
            <w:tcBorders>
              <w:bottom w:val="single" w:sz="2" w:space="0" w:color="000000"/>
              <w:end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w:t>
            </w:r>
          </w:p>
        </w:tc>
      </w:tr>
    </w:tbl>
    <w:p>
      <w:pPr>
        <w:pStyle w:val="Normal"/>
        <w:spacing w:before="40" w:after="0"/>
        <w:rPr>
          <w:sz w:val="14"/>
        </w:rPr>
      </w:pPr>
      <w:r>
        <w:rPr>
          <w:sz w:val="14"/>
        </w:rPr>
        <w:t>Notes: (1) Planned</w:t>
      </w:r>
    </w:p>
    <w:p>
      <w:pPr>
        <w:pStyle w:val="Normal"/>
        <w:spacing w:before="0" w:after="0"/>
        <w:rPr>
          <w:sz w:val="14"/>
        </w:rPr>
      </w:pPr>
      <w:r>
        <w:rPr>
          <w:sz w:val="14"/>
        </w:rPr>
        <w:t>All of the customers of the Gaspart LDCs currently have meters.  Natural gas losses are low and are estimated at approximately 0.25% of total volume</w:t>
      </w:r>
    </w:p>
    <w:p>
      <w:pPr>
        <w:pStyle w:val="Heading5"/>
        <w:rPr/>
      </w:pPr>
      <w:r>
        <w:rPr/>
        <w:t>Compression</w:t>
      </w:r>
    </w:p>
    <w:p>
      <w:pPr>
        <w:pStyle w:val="Normal"/>
        <w:keepNext w:val="true"/>
        <w:rPr/>
      </w:pPr>
      <w:r>
        <w:rPr/>
        <w:t>The following table summarizes the number of regulator stations by company:</w:t>
      </w:r>
    </w:p>
    <w:tbl>
      <w:tblPr>
        <w:tblW w:w="4503" w:type="dxa"/>
        <w:jc w:val="start"/>
        <w:tblInd w:w="0" w:type="dxa"/>
        <w:tblLayout w:type="fixed"/>
        <w:tblCellMar>
          <w:top w:w="0" w:type="dxa"/>
          <w:start w:w="108" w:type="dxa"/>
          <w:bottom w:w="0" w:type="dxa"/>
          <w:end w:w="108" w:type="dxa"/>
        </w:tblCellMar>
      </w:tblPr>
      <w:tblGrid>
        <w:gridCol w:w="2518"/>
        <w:gridCol w:w="1985"/>
      </w:tblGrid>
      <w:tr>
        <w:trPr/>
        <w:tc>
          <w:tcPr>
            <w:tcW w:w="2518" w:type="dxa"/>
            <w:tcBorders>
              <w:top w:val="single" w:sz="2" w:space="0" w:color="000000"/>
              <w:start w:val="single" w:sz="2" w:space="0" w:color="000000"/>
              <w:bottom w:val="single" w:sz="2" w:space="0" w:color="000000"/>
            </w:tcBorders>
            <w:shd w:fill="FFFF00" w:val="clear"/>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Company</w:t>
            </w:r>
          </w:p>
        </w:tc>
        <w:tc>
          <w:tcPr>
            <w:tcW w:w="1985" w:type="dxa"/>
            <w:tcBorders>
              <w:top w:val="single" w:sz="2" w:space="0" w:color="000000"/>
              <w:bottom w:val="single" w:sz="2" w:space="0" w:color="000000"/>
              <w:end w:val="single" w:sz="2" w:space="0" w:color="000000"/>
            </w:tcBorders>
            <w:shd w:fill="FFFF00" w:val="clear"/>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No. of Stations</w:t>
            </w:r>
          </w:p>
        </w:tc>
      </w:tr>
      <w:tr>
        <w:trPr/>
        <w:tc>
          <w:tcPr>
            <w:tcW w:w="2518"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Bahiagás</w:t>
            </w:r>
          </w:p>
        </w:tc>
        <w:tc>
          <w:tcPr>
            <w:tcW w:w="1985"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41</w:t>
            </w:r>
          </w:p>
        </w:tc>
      </w:tr>
      <w:tr>
        <w:trPr/>
        <w:tc>
          <w:tcPr>
            <w:tcW w:w="2518"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Copergás</w:t>
            </w:r>
          </w:p>
        </w:tc>
        <w:tc>
          <w:tcPr>
            <w:tcW w:w="1985"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13</w:t>
            </w:r>
          </w:p>
        </w:tc>
      </w:tr>
      <w:tr>
        <w:trPr/>
        <w:tc>
          <w:tcPr>
            <w:tcW w:w="2518"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Algás</w:t>
            </w:r>
          </w:p>
        </w:tc>
        <w:tc>
          <w:tcPr>
            <w:tcW w:w="1985"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9</w:t>
            </w:r>
          </w:p>
        </w:tc>
      </w:tr>
      <w:tr>
        <w:trPr/>
        <w:tc>
          <w:tcPr>
            <w:tcW w:w="2518"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Emsergás</w:t>
            </w:r>
          </w:p>
        </w:tc>
        <w:tc>
          <w:tcPr>
            <w:tcW w:w="1985"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22</w:t>
            </w:r>
          </w:p>
        </w:tc>
      </w:tr>
      <w:tr>
        <w:trPr/>
        <w:tc>
          <w:tcPr>
            <w:tcW w:w="2518"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PBGás</w:t>
            </w:r>
          </w:p>
        </w:tc>
        <w:tc>
          <w:tcPr>
            <w:tcW w:w="1985"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3</w:t>
            </w:r>
          </w:p>
        </w:tc>
      </w:tr>
      <w:tr>
        <w:trPr/>
        <w:tc>
          <w:tcPr>
            <w:tcW w:w="2518"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Compagás</w:t>
            </w:r>
          </w:p>
        </w:tc>
        <w:tc>
          <w:tcPr>
            <w:tcW w:w="1985"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77</w:t>
            </w:r>
          </w:p>
        </w:tc>
      </w:tr>
      <w:tr>
        <w:trPr/>
        <w:tc>
          <w:tcPr>
            <w:tcW w:w="2518" w:type="dxa"/>
            <w:tcBorders>
              <w:start w:val="single" w:sz="2" w:space="0" w:color="000000"/>
              <w:bottom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SCGás</w:t>
            </w:r>
          </w:p>
        </w:tc>
        <w:tc>
          <w:tcPr>
            <w:tcW w:w="1985" w:type="dxa"/>
            <w:tcBorders>
              <w:bottom w:val="single" w:sz="2" w:space="0" w:color="000000"/>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17</w:t>
            </w:r>
          </w:p>
        </w:tc>
      </w:tr>
    </w:tbl>
    <w:p>
      <w:pPr>
        <w:pStyle w:val="Heading5"/>
        <w:rPr/>
      </w:pPr>
      <w:r>
        <w:rPr/>
        <w:t>Capacity</w:t>
      </w:r>
    </w:p>
    <w:p>
      <w:pPr>
        <w:pStyle w:val="Normal"/>
        <w:rPr/>
      </w:pPr>
      <w:r>
        <w:rPr/>
        <w:t>Peak and average throughput by company in 1999 was as follows:</w:t>
      </w:r>
    </w:p>
    <w:tbl>
      <w:tblPr>
        <w:tblW w:w="5495" w:type="dxa"/>
        <w:jc w:val="start"/>
        <w:tblInd w:w="0" w:type="dxa"/>
        <w:tblLayout w:type="fixed"/>
        <w:tblCellMar>
          <w:top w:w="0" w:type="dxa"/>
          <w:start w:w="108" w:type="dxa"/>
          <w:bottom w:w="0" w:type="dxa"/>
          <w:end w:w="108" w:type="dxa"/>
        </w:tblCellMar>
      </w:tblPr>
      <w:tblGrid>
        <w:gridCol w:w="2234"/>
        <w:gridCol w:w="1630"/>
        <w:gridCol w:w="1631"/>
      </w:tblGrid>
      <w:tr>
        <w:trPr/>
        <w:tc>
          <w:tcPr>
            <w:tcW w:w="2234" w:type="dxa"/>
            <w:tcBorders>
              <w:top w:val="single" w:sz="2" w:space="0" w:color="000000"/>
              <w:start w:val="single" w:sz="2" w:space="0" w:color="000000"/>
            </w:tcBorders>
            <w:shd w:fill="FFFF00" w:val="clear"/>
          </w:tcPr>
          <w:p>
            <w:pPr>
              <w:pStyle w:val="Normal"/>
              <w:keepNext w:val="true"/>
              <w:keepLines/>
              <w:snapToGrid w:val="false"/>
              <w:spacing w:before="0" w:after="0"/>
              <w:rPr>
                <w:rFonts w:ascii="Arial Narrow" w:hAnsi="Arial Narrow" w:cs="Arial Narrow"/>
                <w:sz w:val="16"/>
              </w:rPr>
            </w:pPr>
            <w:r>
              <w:rPr>
                <w:rFonts w:cs="Arial Narrow" w:ascii="Arial Narrow" w:hAnsi="Arial Narrow"/>
                <w:sz w:val="16"/>
              </w:rPr>
            </w:r>
          </w:p>
        </w:tc>
        <w:tc>
          <w:tcPr>
            <w:tcW w:w="3261" w:type="dxa"/>
            <w:gridSpan w:val="2"/>
            <w:tcBorders>
              <w:top w:val="single" w:sz="2" w:space="0" w:color="000000"/>
              <w:end w:val="single" w:sz="2" w:space="0" w:color="000000"/>
            </w:tcBorders>
            <w:shd w:fill="FFFF00" w:val="clear"/>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Throughput (Mcm/month)</w:t>
            </w:r>
          </w:p>
        </w:tc>
      </w:tr>
      <w:tr>
        <w:trPr/>
        <w:tc>
          <w:tcPr>
            <w:tcW w:w="2234" w:type="dxa"/>
            <w:tcBorders>
              <w:start w:val="single" w:sz="2" w:space="0" w:color="000000"/>
              <w:bottom w:val="single" w:sz="2" w:space="0" w:color="000000"/>
            </w:tcBorders>
            <w:shd w:fill="FFFF00" w:val="clear"/>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Company</w:t>
            </w:r>
          </w:p>
        </w:tc>
        <w:tc>
          <w:tcPr>
            <w:tcW w:w="1630" w:type="dxa"/>
            <w:tcBorders>
              <w:bottom w:val="single" w:sz="2" w:space="0" w:color="000000"/>
            </w:tcBorders>
            <w:shd w:fill="FFFF00" w:val="clear"/>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Peak</w:t>
            </w:r>
          </w:p>
        </w:tc>
        <w:tc>
          <w:tcPr>
            <w:tcW w:w="1631" w:type="dxa"/>
            <w:tcBorders>
              <w:bottom w:val="single" w:sz="2" w:space="0" w:color="000000"/>
              <w:end w:val="single" w:sz="2" w:space="0" w:color="000000"/>
            </w:tcBorders>
            <w:shd w:fill="FFFF00" w:val="clear"/>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Average</w:t>
            </w:r>
          </w:p>
        </w:tc>
      </w:tr>
      <w:tr>
        <w:trPr/>
        <w:tc>
          <w:tcPr>
            <w:tcW w:w="2234"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Bahiagas</w:t>
            </w:r>
          </w:p>
        </w:tc>
        <w:tc>
          <w:tcPr>
            <w:tcW w:w="1630" w:type="dxa"/>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77.7</w:t>
            </w:r>
          </w:p>
        </w:tc>
        <w:tc>
          <w:tcPr>
            <w:tcW w:w="1631"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66.5</w:t>
            </w:r>
          </w:p>
        </w:tc>
      </w:tr>
      <w:tr>
        <w:trPr/>
        <w:tc>
          <w:tcPr>
            <w:tcW w:w="2234"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Copergas</w:t>
            </w:r>
          </w:p>
        </w:tc>
        <w:tc>
          <w:tcPr>
            <w:tcW w:w="1630" w:type="dxa"/>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19.3</w:t>
            </w:r>
          </w:p>
        </w:tc>
        <w:tc>
          <w:tcPr>
            <w:tcW w:w="1631"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17.6</w:t>
            </w:r>
          </w:p>
        </w:tc>
      </w:tr>
      <w:tr>
        <w:trPr/>
        <w:tc>
          <w:tcPr>
            <w:tcW w:w="2234"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Algas</w:t>
            </w:r>
          </w:p>
        </w:tc>
        <w:tc>
          <w:tcPr>
            <w:tcW w:w="1630" w:type="dxa"/>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15.6</w:t>
            </w:r>
          </w:p>
        </w:tc>
        <w:tc>
          <w:tcPr>
            <w:tcW w:w="1631"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14.2</w:t>
            </w:r>
          </w:p>
        </w:tc>
      </w:tr>
      <w:tr>
        <w:trPr/>
        <w:tc>
          <w:tcPr>
            <w:tcW w:w="2234"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Emsergas</w:t>
            </w:r>
          </w:p>
        </w:tc>
        <w:tc>
          <w:tcPr>
            <w:tcW w:w="1630" w:type="dxa"/>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4.1</w:t>
            </w:r>
          </w:p>
        </w:tc>
        <w:tc>
          <w:tcPr>
            <w:tcW w:w="1631"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3.6</w:t>
            </w:r>
          </w:p>
        </w:tc>
      </w:tr>
      <w:tr>
        <w:trPr/>
        <w:tc>
          <w:tcPr>
            <w:tcW w:w="2234"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PB Gas</w:t>
            </w:r>
          </w:p>
        </w:tc>
        <w:tc>
          <w:tcPr>
            <w:tcW w:w="1630" w:type="dxa"/>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4.3</w:t>
            </w:r>
          </w:p>
        </w:tc>
        <w:tc>
          <w:tcPr>
            <w:tcW w:w="1631"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3.7</w:t>
            </w:r>
          </w:p>
        </w:tc>
      </w:tr>
      <w:tr>
        <w:trPr/>
        <w:tc>
          <w:tcPr>
            <w:tcW w:w="2234" w:type="dxa"/>
            <w:tcBorders>
              <w:start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Compagas</w:t>
            </w:r>
          </w:p>
        </w:tc>
        <w:tc>
          <w:tcPr>
            <w:tcW w:w="1630" w:type="dxa"/>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0.4</w:t>
            </w:r>
          </w:p>
        </w:tc>
        <w:tc>
          <w:tcPr>
            <w:tcW w:w="1631" w:type="dxa"/>
            <w:tcBorders>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0.2</w:t>
            </w:r>
          </w:p>
        </w:tc>
      </w:tr>
      <w:tr>
        <w:trPr/>
        <w:tc>
          <w:tcPr>
            <w:tcW w:w="2234" w:type="dxa"/>
            <w:tcBorders>
              <w:start w:val="single" w:sz="2" w:space="0" w:color="000000"/>
              <w:bottom w:val="single" w:sz="2" w:space="0" w:color="000000"/>
            </w:tcBorders>
          </w:tcPr>
          <w:p>
            <w:pPr>
              <w:pStyle w:val="Normal"/>
              <w:keepNext w:val="true"/>
              <w:keepLines/>
              <w:spacing w:before="0" w:after="0"/>
              <w:rPr>
                <w:rFonts w:ascii="Arial Narrow" w:hAnsi="Arial Narrow" w:cs="Arial Narrow"/>
                <w:sz w:val="16"/>
              </w:rPr>
            </w:pPr>
            <w:r>
              <w:rPr>
                <w:rFonts w:cs="Arial Narrow" w:ascii="Arial Narrow" w:hAnsi="Arial Narrow"/>
                <w:sz w:val="16"/>
              </w:rPr>
              <w:t>SC Gas</w:t>
            </w:r>
          </w:p>
        </w:tc>
        <w:tc>
          <w:tcPr>
            <w:tcW w:w="1630" w:type="dxa"/>
            <w:tcBorders>
              <w:bottom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NA</w:t>
            </w:r>
          </w:p>
        </w:tc>
        <w:tc>
          <w:tcPr>
            <w:tcW w:w="1631" w:type="dxa"/>
            <w:tcBorders>
              <w:bottom w:val="single" w:sz="2" w:space="0" w:color="000000"/>
              <w:end w:val="single" w:sz="2" w:space="0" w:color="000000"/>
            </w:tcBorders>
          </w:tcPr>
          <w:p>
            <w:pPr>
              <w:pStyle w:val="Normal"/>
              <w:keepNext w:val="true"/>
              <w:keepLines/>
              <w:spacing w:before="0" w:after="0"/>
              <w:jc w:val="center"/>
              <w:rPr>
                <w:rFonts w:ascii="Arial Narrow" w:hAnsi="Arial Narrow" w:cs="Arial Narrow"/>
                <w:sz w:val="16"/>
              </w:rPr>
            </w:pPr>
            <w:r>
              <w:rPr>
                <w:rFonts w:cs="Arial Narrow" w:ascii="Arial Narrow" w:hAnsi="Arial Narrow"/>
                <w:sz w:val="16"/>
              </w:rPr>
              <w:t>NA</w:t>
            </w:r>
          </w:p>
        </w:tc>
      </w:tr>
    </w:tbl>
    <w:p>
      <w:pPr>
        <w:pStyle w:val="Heading5"/>
        <w:rPr/>
      </w:pPr>
      <w:r>
        <w:rPr/>
        <w:t>Expansion</w:t>
      </w:r>
    </w:p>
    <w:p>
      <w:pPr>
        <w:pStyle w:val="Normal"/>
        <w:rPr/>
      </w:pPr>
      <w:r>
        <w:rPr/>
        <w:t>The Gaspart LDCs are in the process of a substantial expansion of their distribution networks, although each company is at a different stage of advancement. The table below summarizes the immediate goals of each company:</w:t>
      </w:r>
    </w:p>
    <w:tbl>
      <w:tblPr>
        <w:tblW w:w="6699" w:type="dxa"/>
        <w:jc w:val="start"/>
        <w:tblInd w:w="0" w:type="dxa"/>
        <w:tblLayout w:type="fixed"/>
        <w:tblCellMar>
          <w:top w:w="0" w:type="dxa"/>
          <w:start w:w="108" w:type="dxa"/>
          <w:bottom w:w="0" w:type="dxa"/>
          <w:end w:w="108" w:type="dxa"/>
        </w:tblCellMar>
      </w:tblPr>
      <w:tblGrid>
        <w:gridCol w:w="959"/>
        <w:gridCol w:w="827"/>
        <w:gridCol w:w="1132"/>
        <w:gridCol w:w="866"/>
        <w:gridCol w:w="852"/>
        <w:gridCol w:w="1007"/>
        <w:gridCol w:w="1056"/>
      </w:tblGrid>
      <w:tr>
        <w:trPr/>
        <w:tc>
          <w:tcPr>
            <w:tcW w:w="959" w:type="dxa"/>
            <w:tcBorders>
              <w:top w:val="single" w:sz="2" w:space="0" w:color="000000"/>
              <w:start w:val="single" w:sz="2" w:space="0" w:color="000000"/>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Company</w:t>
            </w:r>
          </w:p>
        </w:tc>
        <w:tc>
          <w:tcPr>
            <w:tcW w:w="827" w:type="dxa"/>
            <w:tcBorders>
              <w:top w:val="single" w:sz="2" w:space="0" w:color="000000"/>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Length of Steel</w:t>
            </w:r>
          </w:p>
        </w:tc>
        <w:tc>
          <w:tcPr>
            <w:tcW w:w="1132" w:type="dxa"/>
            <w:tcBorders>
              <w:top w:val="single" w:sz="2" w:space="0" w:color="000000"/>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Pipes (km) Polyethylene</w:t>
            </w:r>
          </w:p>
        </w:tc>
        <w:tc>
          <w:tcPr>
            <w:tcW w:w="866" w:type="dxa"/>
            <w:tcBorders>
              <w:top w:val="single" w:sz="2" w:space="0" w:color="000000"/>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Citygates</w:t>
            </w:r>
          </w:p>
        </w:tc>
        <w:tc>
          <w:tcPr>
            <w:tcW w:w="852" w:type="dxa"/>
            <w:tcBorders>
              <w:top w:val="single" w:sz="2" w:space="0" w:color="000000"/>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Regulator Stations</w:t>
            </w:r>
          </w:p>
        </w:tc>
        <w:tc>
          <w:tcPr>
            <w:tcW w:w="1007" w:type="dxa"/>
            <w:tcBorders>
              <w:top w:val="single" w:sz="2" w:space="0" w:color="000000"/>
              <w:bottom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Investment (R$ MM)</w:t>
            </w:r>
          </w:p>
        </w:tc>
        <w:tc>
          <w:tcPr>
            <w:tcW w:w="1056" w:type="dxa"/>
            <w:tcBorders>
              <w:top w:val="single" w:sz="2" w:space="0" w:color="000000"/>
              <w:bottom w:val="single" w:sz="2" w:space="0" w:color="000000"/>
              <w:end w:val="single" w:sz="2" w:space="0" w:color="000000"/>
            </w:tcBorders>
            <w:shd w:fill="FFFF00" w:val="clear"/>
            <w:vAlign w:val="bottom"/>
          </w:tcPr>
          <w:p>
            <w:pPr>
              <w:pStyle w:val="Normal"/>
              <w:spacing w:before="0" w:after="0"/>
              <w:jc w:val="center"/>
              <w:rPr>
                <w:rFonts w:ascii="Arial Narrow" w:hAnsi="Arial Narrow" w:cs="Arial Narrow"/>
                <w:b/>
                <w:sz w:val="16"/>
              </w:rPr>
            </w:pPr>
            <w:r>
              <w:rPr>
                <w:rFonts w:cs="Arial Narrow" w:ascii="Arial Narrow" w:hAnsi="Arial Narrow"/>
                <w:b/>
                <w:sz w:val="16"/>
              </w:rPr>
              <w:t>Completion</w:t>
            </w:r>
          </w:p>
        </w:tc>
      </w:tr>
      <w:tr>
        <w:trPr/>
        <w:tc>
          <w:tcPr>
            <w:tcW w:w="95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Bahiagás</w:t>
            </w:r>
          </w:p>
        </w:tc>
        <w:tc>
          <w:tcPr>
            <w:tcW w:w="82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13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66"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5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0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56" w:type="dxa"/>
            <w:tcBorders>
              <w:end w:val="single" w:sz="2" w:space="0" w:color="000000"/>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r>
      <w:tr>
        <w:trPr/>
        <w:tc>
          <w:tcPr>
            <w:tcW w:w="95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Copergás</w:t>
            </w:r>
          </w:p>
        </w:tc>
        <w:tc>
          <w:tcPr>
            <w:tcW w:w="82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13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66"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5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0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56" w:type="dxa"/>
            <w:tcBorders>
              <w:end w:val="single" w:sz="2" w:space="0" w:color="000000"/>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r>
      <w:tr>
        <w:trPr/>
        <w:tc>
          <w:tcPr>
            <w:tcW w:w="95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Algás</w:t>
            </w:r>
          </w:p>
        </w:tc>
        <w:tc>
          <w:tcPr>
            <w:tcW w:w="82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13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66"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5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0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56" w:type="dxa"/>
            <w:tcBorders>
              <w:end w:val="single" w:sz="2" w:space="0" w:color="000000"/>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r>
      <w:tr>
        <w:trPr/>
        <w:tc>
          <w:tcPr>
            <w:tcW w:w="95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Emsergás</w:t>
            </w:r>
          </w:p>
        </w:tc>
        <w:tc>
          <w:tcPr>
            <w:tcW w:w="82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13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66"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5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0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56" w:type="dxa"/>
            <w:tcBorders>
              <w:end w:val="single" w:sz="2" w:space="0" w:color="000000"/>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r>
      <w:tr>
        <w:trPr/>
        <w:tc>
          <w:tcPr>
            <w:tcW w:w="95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PBGás</w:t>
            </w:r>
          </w:p>
        </w:tc>
        <w:tc>
          <w:tcPr>
            <w:tcW w:w="82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13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66"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852"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07" w:type="dxa"/>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c>
          <w:tcPr>
            <w:tcW w:w="1056" w:type="dxa"/>
            <w:tcBorders>
              <w:end w:val="single" w:sz="2" w:space="0" w:color="000000"/>
            </w:tcBorders>
          </w:tcPr>
          <w:p>
            <w:pPr>
              <w:pStyle w:val="Normal"/>
              <w:snapToGrid w:val="false"/>
              <w:spacing w:before="0" w:after="0"/>
              <w:jc w:val="center"/>
              <w:rPr>
                <w:rFonts w:ascii="Arial Narrow" w:hAnsi="Arial Narrow" w:cs="Arial Narrow"/>
                <w:sz w:val="16"/>
              </w:rPr>
            </w:pPr>
            <w:r>
              <w:rPr>
                <w:rFonts w:cs="Arial Narrow" w:ascii="Arial Narrow" w:hAnsi="Arial Narrow"/>
                <w:sz w:val="16"/>
              </w:rPr>
            </w:r>
          </w:p>
        </w:tc>
      </w:tr>
      <w:tr>
        <w:trPr/>
        <w:tc>
          <w:tcPr>
            <w:tcW w:w="959" w:type="dxa"/>
            <w:tcBorders>
              <w:start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Compagás</w:t>
            </w:r>
          </w:p>
        </w:tc>
        <w:tc>
          <w:tcPr>
            <w:tcW w:w="827" w:type="dxa"/>
            <w:tcBorders/>
          </w:tcPr>
          <w:p>
            <w:pPr>
              <w:pStyle w:val="Normal"/>
              <w:spacing w:before="0" w:after="0"/>
              <w:jc w:val="center"/>
              <w:rPr>
                <w:rFonts w:ascii="Arial Narrow" w:hAnsi="Arial Narrow" w:cs="Arial Narrow"/>
                <w:sz w:val="16"/>
              </w:rPr>
            </w:pPr>
            <w:r>
              <w:rPr>
                <w:rFonts w:cs="Arial Narrow" w:ascii="Arial Narrow" w:hAnsi="Arial Narrow"/>
                <w:sz w:val="16"/>
              </w:rPr>
              <w:t>241</w:t>
            </w:r>
          </w:p>
        </w:tc>
        <w:tc>
          <w:tcPr>
            <w:tcW w:w="1132" w:type="dxa"/>
            <w:tcBorders/>
          </w:tcPr>
          <w:p>
            <w:pPr>
              <w:pStyle w:val="Normal"/>
              <w:spacing w:before="0" w:after="0"/>
              <w:jc w:val="center"/>
              <w:rPr>
                <w:rFonts w:ascii="Arial Narrow" w:hAnsi="Arial Narrow" w:cs="Arial Narrow"/>
                <w:sz w:val="16"/>
              </w:rPr>
            </w:pPr>
            <w:r>
              <w:rPr>
                <w:rFonts w:cs="Arial Narrow" w:ascii="Arial Narrow" w:hAnsi="Arial Narrow"/>
                <w:sz w:val="16"/>
              </w:rPr>
              <w:t>30</w:t>
            </w:r>
          </w:p>
        </w:tc>
        <w:tc>
          <w:tcPr>
            <w:tcW w:w="866" w:type="dxa"/>
            <w:tcBorders/>
          </w:tcPr>
          <w:p>
            <w:pPr>
              <w:pStyle w:val="Normal"/>
              <w:spacing w:before="0" w:after="0"/>
              <w:jc w:val="center"/>
              <w:rPr>
                <w:rFonts w:ascii="Arial Narrow" w:hAnsi="Arial Narrow" w:cs="Arial Narrow"/>
                <w:sz w:val="16"/>
              </w:rPr>
            </w:pPr>
            <w:r>
              <w:rPr>
                <w:rFonts w:cs="Arial Narrow" w:ascii="Arial Narrow" w:hAnsi="Arial Narrow"/>
                <w:sz w:val="16"/>
              </w:rPr>
              <w:t>3</w:t>
            </w:r>
          </w:p>
        </w:tc>
        <w:tc>
          <w:tcPr>
            <w:tcW w:w="852" w:type="dxa"/>
            <w:tcBorders/>
          </w:tcPr>
          <w:p>
            <w:pPr>
              <w:pStyle w:val="Normal"/>
              <w:spacing w:before="0" w:after="0"/>
              <w:jc w:val="center"/>
              <w:rPr>
                <w:rFonts w:ascii="Arial Narrow" w:hAnsi="Arial Narrow" w:cs="Arial Narrow"/>
                <w:sz w:val="16"/>
              </w:rPr>
            </w:pPr>
            <w:r>
              <w:rPr>
                <w:rFonts w:cs="Arial Narrow" w:ascii="Arial Narrow" w:hAnsi="Arial Narrow"/>
                <w:sz w:val="16"/>
              </w:rPr>
              <w:t>24</w:t>
            </w:r>
          </w:p>
        </w:tc>
        <w:tc>
          <w:tcPr>
            <w:tcW w:w="1007" w:type="dxa"/>
            <w:tcBorders/>
          </w:tcPr>
          <w:p>
            <w:pPr>
              <w:pStyle w:val="Normal"/>
              <w:spacing w:before="0" w:after="0"/>
              <w:jc w:val="center"/>
              <w:rPr/>
            </w:pPr>
            <w:r>
              <w:rPr>
                <w:rFonts w:cs="Arial Narrow" w:ascii="Arial Narrow" w:hAnsi="Arial Narrow"/>
                <w:sz w:val="16"/>
              </w:rPr>
              <w:t xml:space="preserve">72 </w:t>
            </w:r>
            <w:r>
              <w:rPr>
                <w:rFonts w:cs="Arial Narrow" w:ascii="Arial Narrow" w:hAnsi="Arial Narrow"/>
                <w:sz w:val="16"/>
                <w:vertAlign w:val="superscript"/>
              </w:rPr>
              <w:t>(1)</w:t>
            </w:r>
          </w:p>
        </w:tc>
        <w:tc>
          <w:tcPr>
            <w:tcW w:w="1056" w:type="dxa"/>
            <w:tcBorders>
              <w:end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3Q2000</w:t>
            </w:r>
          </w:p>
        </w:tc>
      </w:tr>
      <w:tr>
        <w:trPr/>
        <w:tc>
          <w:tcPr>
            <w:tcW w:w="959" w:type="dxa"/>
            <w:tcBorders>
              <w:start w:val="single" w:sz="2" w:space="0" w:color="000000"/>
              <w:bottom w:val="single" w:sz="2" w:space="0" w:color="000000"/>
            </w:tcBorders>
          </w:tcPr>
          <w:p>
            <w:pPr>
              <w:pStyle w:val="Normal"/>
              <w:spacing w:before="0" w:after="0"/>
              <w:rPr>
                <w:rFonts w:ascii="Arial Narrow" w:hAnsi="Arial Narrow" w:cs="Arial Narrow"/>
                <w:sz w:val="16"/>
              </w:rPr>
            </w:pPr>
            <w:r>
              <w:rPr>
                <w:rFonts w:cs="Arial Narrow" w:ascii="Arial Narrow" w:hAnsi="Arial Narrow"/>
                <w:sz w:val="16"/>
              </w:rPr>
              <w:t>SCGás</w:t>
            </w:r>
          </w:p>
        </w:tc>
        <w:tc>
          <w:tcPr>
            <w:tcW w:w="827"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408</w:t>
            </w:r>
          </w:p>
        </w:tc>
        <w:tc>
          <w:tcPr>
            <w:tcW w:w="1132"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w:t>
            </w:r>
          </w:p>
        </w:tc>
        <w:tc>
          <w:tcPr>
            <w:tcW w:w="866"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9</w:t>
            </w:r>
          </w:p>
        </w:tc>
        <w:tc>
          <w:tcPr>
            <w:tcW w:w="852"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17</w:t>
            </w:r>
          </w:p>
        </w:tc>
        <w:tc>
          <w:tcPr>
            <w:tcW w:w="1007" w:type="dxa"/>
            <w:tcBorders>
              <w:bottom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60</w:t>
            </w:r>
          </w:p>
        </w:tc>
        <w:tc>
          <w:tcPr>
            <w:tcW w:w="1056" w:type="dxa"/>
            <w:tcBorders>
              <w:bottom w:val="single" w:sz="2" w:space="0" w:color="000000"/>
              <w:end w:val="single" w:sz="2" w:space="0" w:color="000000"/>
            </w:tcBorders>
          </w:tcPr>
          <w:p>
            <w:pPr>
              <w:pStyle w:val="Normal"/>
              <w:spacing w:before="0" w:after="0"/>
              <w:jc w:val="center"/>
              <w:rPr>
                <w:rFonts w:ascii="Arial Narrow" w:hAnsi="Arial Narrow" w:cs="Arial Narrow"/>
                <w:sz w:val="16"/>
              </w:rPr>
            </w:pPr>
            <w:r>
              <w:rPr>
                <w:rFonts w:cs="Arial Narrow" w:ascii="Arial Narrow" w:hAnsi="Arial Narrow"/>
                <w:sz w:val="16"/>
              </w:rPr>
              <w:t>3Q2000</w:t>
            </w:r>
          </w:p>
        </w:tc>
      </w:tr>
    </w:tbl>
    <w:p>
      <w:pPr>
        <w:pStyle w:val="Normal"/>
        <w:spacing w:before="40" w:after="220"/>
        <w:rPr>
          <w:sz w:val="14"/>
        </w:rPr>
      </w:pPr>
      <w:r>
        <w:rPr>
          <w:sz w:val="14"/>
        </w:rPr>
        <w:t>Note: (1) R$46 MM remains to be invested in 2000</w:t>
      </w:r>
    </w:p>
    <w:p>
      <w:pPr>
        <w:pStyle w:val="Heading3"/>
        <w:ind w:hanging="0" w:start="0"/>
        <w:rPr/>
      </w:pPr>
      <w:r>
        <w:rPr/>
        <w:t>Regulation and Tariffs</w:t>
      </w:r>
    </w:p>
    <w:p>
      <w:pPr>
        <w:pStyle w:val="Heading4"/>
        <w:ind w:hanging="0" w:start="0"/>
        <w:rPr/>
      </w:pPr>
      <w:r>
        <w:rPr/>
        <w:t>Framework</w:t>
      </w:r>
    </w:p>
    <w:p>
      <w:pPr>
        <w:pStyle w:val="Normal"/>
        <w:rPr/>
      </w:pPr>
      <w:r>
        <w:rPr/>
        <w:t>In the seven Gaspart states, the rights of the companies are regulated via concession contracts. Within state governmental structures, normally the secretary for infrastructure or energy oversees the execution of the concession contract and measures the performance of the distribution company.</w:t>
      </w:r>
    </w:p>
    <w:p>
      <w:pPr>
        <w:pStyle w:val="Normal"/>
        <w:rPr/>
      </w:pPr>
      <w:r>
        <w:rPr/>
        <w:t>However, since 1999, the respective state governments have worked to create regulatory agencies to fortify the rights and obligations of the gas distribution companies through the creation of clear, consistent, and enforceable regulatory rules.  Enron has also worked with state and local governments to ensure that municipal laws promote the use of natural gas for residences, vehicle, and commercial enterprises.  In the capital cities of Salvador, Bahia and Aracaju, Sergipe, municipal building codes now mandate natural gas piping for all new construction.  Similar codes are in final review in the cities of Maceió, Alagoas and Recife, and Pernambuco.  In the largest and most influential state (Bahia), the regulatory agency of AGERBA has been created, and the staff is being selected and trained.  AGERBA is currently working on their initial set of regulations.  In the states of Pernambuco and Sergipe, the regulatory agencies (ARPE and ASES, respectively) have already been created and are working on similar initiatives. In some of the smaller states (Alagoas and Paraíba), no regulatory agency has been established yet.  The regulatory activities of these states are still under the umbrella of the Secretary of Infrastructure, and will likely remain so, given the relatively small size of the markets.</w:t>
      </w:r>
    </w:p>
    <w:p>
      <w:pPr>
        <w:pStyle w:val="Heading4"/>
        <w:ind w:hanging="0" w:start="0"/>
        <w:rPr/>
      </w:pPr>
      <w:r>
        <w:rPr/>
        <w:t>Concession Contract</w:t>
      </w:r>
    </w:p>
    <w:p>
      <w:pPr>
        <w:pStyle w:val="Normal"/>
        <w:rPr/>
      </w:pPr>
      <w:r>
        <w:rPr/>
        <w:t>The basic characteristics of all of the concession contracts are closed-access, exclusive, statewide concessions with specific rules for the remuneration of capital and for possible changes to the tariff structure. The life of the concessions range from 30 to 50 years, a period considered reasonable for the LDC to construct a sufficient and reliable gas distribution network within the state</w:t>
      </w:r>
      <w:r>
        <w:rPr>
          <w:rFonts w:cs="Arial" w:ascii="Arial" w:hAnsi="Arial"/>
        </w:rPr>
        <w:t>.</w:t>
      </w:r>
    </w:p>
    <w:p>
      <w:pPr>
        <w:pStyle w:val="Heading4"/>
        <w:ind w:hanging="0" w:start="0"/>
        <w:rPr/>
      </w:pPr>
      <w:r>
        <w:rPr/>
        <w:t>Tariffs</w:t>
      </w:r>
    </w:p>
    <w:p>
      <w:pPr>
        <w:pStyle w:val="BLKmed1st1"/>
        <w:rPr/>
      </w:pPr>
      <w:r>
        <w:rPr/>
        <w:t>The remuneration of capital is based on a fixed remuneration of 20% over a specific regulatory asset base.  The regulatory asset base is defined as the companies fixed assets (net of accumulated depreciation) plus the capitalized portion of current projects underway.  In addition, the concession contract also allows for the pass-through of operational expenses, taxes, administrative expenses and depreciation.  The remuneration formula consequently allows for the LDCs to recover fully its expenses and for a satisfactory 20% return on the regulatory asset base.</w:t>
      </w:r>
    </w:p>
    <w:p>
      <w:pPr>
        <w:pStyle w:val="Normal"/>
        <w:rPr/>
      </w:pPr>
      <w:r>
        <w:rPr/>
        <w:t>In addition to these adjustments, the tariffs can be adjusted annually on the basis of inflation (IGPM) and/or due to productivity increases within any given company. The terms of the tariff review have not yet been established by the newly formed, regulatory agencies, but they are expected to be similar to those found in other states, i.e. regular reviews every five years.  Uncontrollable costs such as the cost of gas and the revenue taxes are always subject to 100% pass-through.</w:t>
      </w:r>
    </w:p>
    <w:p>
      <w:pPr>
        <w:pStyle w:val="BLKmed1st1"/>
        <w:rPr/>
      </w:pPr>
      <w:r>
        <w:rPr/>
        <w:t>The volumes utilized to calculate the per unit tariffs are 80% of the previous year’s volume.</w:t>
      </w:r>
    </w:p>
    <w:p>
      <w:pPr>
        <w:pStyle w:val="BLKmed1st1"/>
        <w:keepNext w:val="true"/>
        <w:rPr/>
      </w:pPr>
      <w:r>
        <w:rPr/>
        <w:t>Average sale tariffs by company and customer category were as follows in 1999:</w:t>
      </w:r>
    </w:p>
    <w:tbl>
      <w:tblPr>
        <w:tblW w:w="9241" w:type="dxa"/>
        <w:jc w:val="start"/>
        <w:tblInd w:w="-2688" w:type="dxa"/>
        <w:tblLayout w:type="fixed"/>
        <w:tblCellMar>
          <w:top w:w="0" w:type="dxa"/>
          <w:start w:w="108" w:type="dxa"/>
          <w:bottom w:w="0" w:type="dxa"/>
          <w:end w:w="108" w:type="dxa"/>
        </w:tblCellMar>
      </w:tblPr>
      <w:tblGrid>
        <w:gridCol w:w="1378"/>
        <w:gridCol w:w="161"/>
        <w:gridCol w:w="962"/>
        <w:gridCol w:w="578"/>
        <w:gridCol w:w="545"/>
        <w:gridCol w:w="995"/>
        <w:gridCol w:w="128"/>
        <w:gridCol w:w="1124"/>
        <w:gridCol w:w="288"/>
        <w:gridCol w:w="835"/>
        <w:gridCol w:w="705"/>
        <w:gridCol w:w="418"/>
        <w:gridCol w:w="1122"/>
        <w:gridCol w:w="2"/>
      </w:tblGrid>
      <w:tr>
        <w:trPr>
          <w:tblHeader w:val="true"/>
        </w:trPr>
        <w:tc>
          <w:tcPr>
            <w:tcW w:w="1378" w:type="dxa"/>
            <w:tcBorders>
              <w:top w:val="single" w:sz="4" w:space="0" w:color="000000"/>
              <w:start w:val="single" w:sz="4" w:space="0" w:color="000000"/>
              <w:bottom w:val="single" w:sz="4" w:space="0" w:color="000000"/>
            </w:tcBorders>
            <w:shd w:fill="FFFF00" w:val="clear"/>
            <w:vAlign w:val="bottom"/>
          </w:tcPr>
          <w:p>
            <w:pPr>
              <w:pStyle w:val="TableHead"/>
              <w:pBdr>
                <w:bottom w:val="nil"/>
              </w:pBdr>
              <w:rPr>
                <w:sz w:val="18"/>
              </w:rPr>
            </w:pPr>
            <w:r>
              <w:rPr>
                <w:sz w:val="18"/>
              </w:rPr>
              <w:t>Type of Customer</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rPr>
                <w:sz w:val="18"/>
              </w:rPr>
            </w:pPr>
            <w:r>
              <w:rPr>
                <w:sz w:val="18"/>
              </w:rPr>
              <w:t>Bahiagás</w:t>
              <w:br/>
              <w:t>US$/cm</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rPr>
                <w:sz w:val="18"/>
              </w:rPr>
            </w:pPr>
            <w:r>
              <w:rPr>
                <w:sz w:val="18"/>
              </w:rPr>
              <w:t>Copergás</w:t>
              <w:br/>
              <w:t>US$/cm</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rPr>
                <w:sz w:val="18"/>
              </w:rPr>
            </w:pPr>
            <w:r>
              <w:rPr>
                <w:sz w:val="18"/>
              </w:rPr>
              <w:t>Algás</w:t>
              <w:br/>
              <w:t>US$/cm</w:t>
            </w:r>
          </w:p>
        </w:tc>
        <w:tc>
          <w:tcPr>
            <w:tcW w:w="1124" w:type="dxa"/>
            <w:tcBorders>
              <w:top w:val="single" w:sz="4" w:space="0" w:color="000000"/>
              <w:bottom w:val="single" w:sz="4" w:space="0" w:color="000000"/>
            </w:tcBorders>
            <w:shd w:fill="FFFF00" w:val="clear"/>
          </w:tcPr>
          <w:p>
            <w:pPr>
              <w:pStyle w:val="TableHead"/>
              <w:pBdr>
                <w:bottom w:val="nil"/>
              </w:pBdr>
              <w:rPr>
                <w:sz w:val="18"/>
              </w:rPr>
            </w:pPr>
            <w:r>
              <w:rPr>
                <w:sz w:val="18"/>
              </w:rPr>
              <w:t>Emsergás</w:t>
              <w:br/>
              <w:t>US$/cm</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rPr>
                <w:sz w:val="18"/>
              </w:rPr>
            </w:pPr>
            <w:r>
              <w:rPr>
                <w:sz w:val="18"/>
              </w:rPr>
              <w:t>PBGas</w:t>
              <w:br/>
              <w:t>US$/cm</w:t>
            </w:r>
          </w:p>
        </w:tc>
        <w:tc>
          <w:tcPr>
            <w:tcW w:w="1123" w:type="dxa"/>
            <w:gridSpan w:val="2"/>
            <w:tcBorders>
              <w:top w:val="single" w:sz="4" w:space="0" w:color="000000"/>
              <w:bottom w:val="single" w:sz="4" w:space="0" w:color="000000"/>
            </w:tcBorders>
            <w:shd w:fill="FFFF00" w:val="clear"/>
            <w:vAlign w:val="bottom"/>
          </w:tcPr>
          <w:p>
            <w:pPr>
              <w:pStyle w:val="TableHead"/>
              <w:pBdr>
                <w:bottom w:val="nil"/>
              </w:pBdr>
              <w:rPr>
                <w:sz w:val="18"/>
              </w:rPr>
            </w:pPr>
            <w:r>
              <w:rPr>
                <w:sz w:val="18"/>
              </w:rPr>
              <w:t>Compagás</w:t>
              <w:br/>
              <w:t>US$/cm</w:t>
            </w:r>
          </w:p>
        </w:tc>
        <w:tc>
          <w:tcPr>
            <w:tcW w:w="1124"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SCGás</w:t>
              <w:br/>
              <w:t>US/cm</w:t>
            </w:r>
          </w:p>
        </w:tc>
      </w:tr>
      <w:tr>
        <w:trPr/>
        <w:tc>
          <w:tcPr>
            <w:tcW w:w="1539" w:type="dxa"/>
            <w:gridSpan w:val="2"/>
            <w:tcBorders>
              <w:start w:val="single" w:sz="4" w:space="0" w:color="000000"/>
            </w:tcBorders>
          </w:tcPr>
          <w:p>
            <w:pPr>
              <w:pStyle w:val="TableHeadSpace"/>
              <w:rPr>
                <w:vanish/>
                <w:color w:val="FF00FF"/>
              </w:rPr>
            </w:pPr>
            <w:r>
              <w:rPr>
                <w:vanish/>
                <w:color w:val="FF00FF"/>
              </w:rPr>
              <w:t>Do not delete</w:t>
            </w:r>
          </w:p>
        </w:tc>
        <w:tc>
          <w:tcPr>
            <w:tcW w:w="1540" w:type="dxa"/>
            <w:gridSpan w:val="2"/>
            <w:tcBorders/>
          </w:tcPr>
          <w:p>
            <w:pPr>
              <w:pStyle w:val="TableHeadSpace"/>
              <w:snapToGrid w:val="false"/>
              <w:rPr>
                <w:vanish/>
                <w:color w:val="FF00FF"/>
              </w:rPr>
            </w:pPr>
            <w:r>
              <w:rPr>
                <w:vanish/>
                <w:color w:val="FF00FF"/>
              </w:rPr>
            </w:r>
          </w:p>
        </w:tc>
        <w:tc>
          <w:tcPr>
            <w:tcW w:w="1540" w:type="dxa"/>
            <w:gridSpan w:val="2"/>
            <w:tcBorders/>
          </w:tcPr>
          <w:p>
            <w:pPr>
              <w:pStyle w:val="TableHeadSpace"/>
              <w:snapToGrid w:val="false"/>
              <w:rPr/>
            </w:pPr>
            <w:r>
              <w:rPr/>
            </w:r>
          </w:p>
        </w:tc>
        <w:tc>
          <w:tcPr>
            <w:tcW w:w="1540" w:type="dxa"/>
            <w:gridSpan w:val="3"/>
            <w:tcBorders/>
          </w:tcPr>
          <w:p>
            <w:pPr>
              <w:pStyle w:val="TableHeadSpace"/>
              <w:snapToGrid w:val="false"/>
              <w:rPr/>
            </w:pPr>
            <w:r>
              <w:rPr/>
            </w:r>
          </w:p>
        </w:tc>
        <w:tc>
          <w:tcPr>
            <w:tcW w:w="1540" w:type="dxa"/>
            <w:gridSpan w:val="2"/>
            <w:tcBorders/>
          </w:tcPr>
          <w:p>
            <w:pPr>
              <w:pStyle w:val="TableHeadSpace"/>
              <w:snapToGrid w:val="false"/>
              <w:rPr/>
            </w:pPr>
            <w:r>
              <w:rPr/>
            </w:r>
          </w:p>
        </w:tc>
        <w:tc>
          <w:tcPr>
            <w:tcW w:w="1540" w:type="dxa"/>
            <w:gridSpan w:val="2"/>
            <w:tcBorders>
              <w:end w:val="single" w:sz="4" w:space="0" w:color="000000"/>
            </w:tcBorders>
          </w:tcPr>
          <w:p>
            <w:pPr>
              <w:pStyle w:val="TableHeadSpace"/>
              <w:snapToGrid w:val="false"/>
              <w:rPr>
                <w:caps w:val="false"/>
                <w:smallCaps w:val="false"/>
              </w:rPr>
            </w:pPr>
            <w:r>
              <w:rPr>
                <w:caps w:val="false"/>
                <w:smallCaps w:val="false"/>
              </w:rPr>
            </w:r>
          </w:p>
        </w:tc>
      </w:tr>
      <w:tr>
        <w:trPr/>
        <w:tc>
          <w:tcPr>
            <w:tcW w:w="1378" w:type="dxa"/>
            <w:tcBorders>
              <w:start w:val="single" w:sz="4" w:space="0" w:color="000000"/>
            </w:tcBorders>
            <w:vAlign w:val="center"/>
          </w:tcPr>
          <w:p>
            <w:pPr>
              <w:pStyle w:val="TableBody"/>
              <w:keepNext w:val="true"/>
              <w:keepLines/>
              <w:rPr>
                <w:sz w:val="18"/>
              </w:rPr>
            </w:pPr>
            <w:r>
              <w:rPr>
                <w:sz w:val="18"/>
              </w:rPr>
              <w:t>Fuel</w:t>
            </w:r>
          </w:p>
        </w:tc>
        <w:tc>
          <w:tcPr>
            <w:tcW w:w="1123" w:type="dxa"/>
            <w:gridSpan w:val="2"/>
            <w:tcBorders/>
            <w:vAlign w:val="center"/>
          </w:tcPr>
          <w:p>
            <w:pPr>
              <w:pStyle w:val="TableBody"/>
              <w:keepNext w:val="true"/>
              <w:keepLines/>
              <w:jc w:val="center"/>
              <w:rPr>
                <w:sz w:val="18"/>
              </w:rPr>
            </w:pPr>
            <w:r>
              <w:rPr>
                <w:sz w:val="18"/>
              </w:rPr>
              <w:t>0.0850</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keepNext w:val="true"/>
              <w:keepLines/>
              <w:rPr>
                <w:sz w:val="18"/>
              </w:rPr>
            </w:pPr>
            <w:r>
              <w:rPr>
                <w:sz w:val="18"/>
              </w:rPr>
              <w:t>Petrochemical</w:t>
            </w:r>
          </w:p>
        </w:tc>
        <w:tc>
          <w:tcPr>
            <w:tcW w:w="1123" w:type="dxa"/>
            <w:gridSpan w:val="2"/>
            <w:tcBorders/>
            <w:vAlign w:val="center"/>
          </w:tcPr>
          <w:p>
            <w:pPr>
              <w:pStyle w:val="TableBody"/>
              <w:keepNext w:val="true"/>
              <w:keepLines/>
              <w:jc w:val="center"/>
              <w:rPr>
                <w:sz w:val="18"/>
              </w:rPr>
            </w:pPr>
            <w:r>
              <w:rPr>
                <w:sz w:val="18"/>
              </w:rPr>
              <w:t>0.0466</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keepNext w:val="true"/>
              <w:keepLines/>
              <w:rPr>
                <w:sz w:val="18"/>
              </w:rPr>
            </w:pPr>
            <w:r>
              <w:rPr>
                <w:sz w:val="18"/>
              </w:rPr>
              <w:t>Oxy Reduction</w:t>
            </w:r>
          </w:p>
        </w:tc>
        <w:tc>
          <w:tcPr>
            <w:tcW w:w="1123" w:type="dxa"/>
            <w:gridSpan w:val="2"/>
            <w:tcBorders/>
            <w:vAlign w:val="center"/>
          </w:tcPr>
          <w:p>
            <w:pPr>
              <w:pStyle w:val="TableBody"/>
              <w:keepNext w:val="true"/>
              <w:keepLines/>
              <w:jc w:val="center"/>
              <w:rPr>
                <w:sz w:val="18"/>
              </w:rPr>
            </w:pPr>
            <w:r>
              <w:rPr>
                <w:sz w:val="18"/>
              </w:rPr>
              <w:t>0.0526</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keepNext w:val="true"/>
              <w:keepLines/>
              <w:rPr>
                <w:sz w:val="18"/>
              </w:rPr>
            </w:pPr>
            <w:r>
              <w:rPr>
                <w:sz w:val="18"/>
              </w:rPr>
              <w:t>Industrial</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0.0893</w:t>
            </w:r>
          </w:p>
        </w:tc>
        <w:tc>
          <w:tcPr>
            <w:tcW w:w="1123" w:type="dxa"/>
            <w:gridSpan w:val="2"/>
            <w:tcBorders/>
            <w:vAlign w:val="center"/>
          </w:tcPr>
          <w:p>
            <w:pPr>
              <w:pStyle w:val="TableBody"/>
              <w:keepNext w:val="true"/>
              <w:keepLines/>
              <w:jc w:val="center"/>
              <w:rPr>
                <w:sz w:val="18"/>
              </w:rPr>
            </w:pPr>
            <w:r>
              <w:rPr>
                <w:sz w:val="18"/>
              </w:rPr>
              <w:t>0.0795</w:t>
            </w:r>
          </w:p>
        </w:tc>
        <w:tc>
          <w:tcPr>
            <w:tcW w:w="1124" w:type="dxa"/>
            <w:tcBorders/>
            <w:vAlign w:val="center"/>
          </w:tcPr>
          <w:p>
            <w:pPr>
              <w:pStyle w:val="TableBody"/>
              <w:keepNext w:val="true"/>
              <w:keepLines/>
              <w:jc w:val="center"/>
              <w:rPr>
                <w:sz w:val="18"/>
              </w:rPr>
            </w:pPr>
            <w:r>
              <w:rPr>
                <w:sz w:val="18"/>
              </w:rPr>
              <w:t>0.0962</w:t>
            </w:r>
          </w:p>
        </w:tc>
        <w:tc>
          <w:tcPr>
            <w:tcW w:w="1123" w:type="dxa"/>
            <w:gridSpan w:val="2"/>
            <w:tcBorders/>
            <w:vAlign w:val="center"/>
          </w:tcPr>
          <w:p>
            <w:pPr>
              <w:pStyle w:val="TableBody"/>
              <w:keepNext w:val="true"/>
              <w:keepLines/>
              <w:jc w:val="center"/>
              <w:rPr>
                <w:sz w:val="18"/>
              </w:rPr>
            </w:pPr>
            <w:r>
              <w:rPr>
                <w:sz w:val="18"/>
              </w:rPr>
              <w:t>0.0927</w:t>
            </w:r>
          </w:p>
        </w:tc>
        <w:tc>
          <w:tcPr>
            <w:tcW w:w="1123" w:type="dxa"/>
            <w:gridSpan w:val="2"/>
            <w:tcBorders/>
            <w:vAlign w:val="center"/>
          </w:tcPr>
          <w:p>
            <w:pPr>
              <w:pStyle w:val="TableBody"/>
              <w:keepNext w:val="true"/>
              <w:keepLines/>
              <w:jc w:val="center"/>
              <w:rPr>
                <w:sz w:val="18"/>
              </w:rPr>
            </w:pPr>
            <w:r>
              <w:rPr>
                <w:sz w:val="18"/>
              </w:rPr>
              <w:t>0.1212</w:t>
            </w:r>
          </w:p>
        </w:tc>
        <w:tc>
          <w:tcPr>
            <w:tcW w:w="1124" w:type="dxa"/>
            <w:tcBorders>
              <w:end w:val="single" w:sz="4" w:space="0" w:color="000000"/>
            </w:tcBorders>
            <w:vAlign w:val="center"/>
          </w:tcPr>
          <w:p>
            <w:pPr>
              <w:pStyle w:val="TableBody"/>
              <w:keepNext w:val="true"/>
              <w:keepLines/>
              <w:jc w:val="center"/>
              <w:rPr>
                <w:sz w:val="18"/>
              </w:rPr>
            </w:pPr>
            <w:r>
              <w:rPr>
                <w:sz w:val="18"/>
              </w:rPr>
              <w:t>0.1251</w:t>
            </w:r>
          </w:p>
        </w:tc>
      </w:tr>
      <w:tr>
        <w:trPr/>
        <w:tc>
          <w:tcPr>
            <w:tcW w:w="1378" w:type="dxa"/>
            <w:tcBorders>
              <w:start w:val="single" w:sz="4" w:space="0" w:color="000000"/>
            </w:tcBorders>
            <w:vAlign w:val="center"/>
          </w:tcPr>
          <w:p>
            <w:pPr>
              <w:pStyle w:val="TableBody"/>
              <w:keepNext w:val="true"/>
              <w:keepLines/>
              <w:rPr>
                <w:sz w:val="18"/>
              </w:rPr>
            </w:pPr>
            <w:r>
              <w:rPr>
                <w:sz w:val="18"/>
              </w:rPr>
              <w:t>Automotive</w:t>
            </w:r>
          </w:p>
        </w:tc>
        <w:tc>
          <w:tcPr>
            <w:tcW w:w="1123" w:type="dxa"/>
            <w:gridSpan w:val="2"/>
            <w:tcBorders/>
            <w:vAlign w:val="center"/>
          </w:tcPr>
          <w:p>
            <w:pPr>
              <w:pStyle w:val="TableBody"/>
              <w:keepNext w:val="true"/>
              <w:keepLines/>
              <w:jc w:val="center"/>
              <w:rPr>
                <w:sz w:val="18"/>
              </w:rPr>
            </w:pPr>
            <w:r>
              <w:rPr>
                <w:sz w:val="18"/>
              </w:rPr>
              <w:t>0.0619</w:t>
            </w:r>
          </w:p>
        </w:tc>
        <w:tc>
          <w:tcPr>
            <w:tcW w:w="1123" w:type="dxa"/>
            <w:gridSpan w:val="2"/>
            <w:tcBorders/>
            <w:vAlign w:val="center"/>
          </w:tcPr>
          <w:p>
            <w:pPr>
              <w:pStyle w:val="TableBody"/>
              <w:keepNext w:val="true"/>
              <w:keepLines/>
              <w:jc w:val="center"/>
              <w:rPr>
                <w:sz w:val="18"/>
              </w:rPr>
            </w:pPr>
            <w:r>
              <w:rPr>
                <w:sz w:val="18"/>
              </w:rPr>
              <w:t>0.0644</w:t>
            </w:r>
          </w:p>
        </w:tc>
        <w:tc>
          <w:tcPr>
            <w:tcW w:w="1123" w:type="dxa"/>
            <w:gridSpan w:val="2"/>
            <w:tcBorders/>
            <w:vAlign w:val="center"/>
          </w:tcPr>
          <w:p>
            <w:pPr>
              <w:pStyle w:val="TableBody"/>
              <w:keepNext w:val="true"/>
              <w:keepLines/>
              <w:jc w:val="center"/>
              <w:rPr>
                <w:sz w:val="18"/>
              </w:rPr>
            </w:pPr>
            <w:r>
              <w:rPr>
                <w:sz w:val="18"/>
              </w:rPr>
              <w:t>0.0674</w:t>
            </w:r>
          </w:p>
        </w:tc>
        <w:tc>
          <w:tcPr>
            <w:tcW w:w="1124" w:type="dxa"/>
            <w:tcBorders/>
            <w:vAlign w:val="center"/>
          </w:tcPr>
          <w:p>
            <w:pPr>
              <w:pStyle w:val="TableBody"/>
              <w:keepNext w:val="true"/>
              <w:keepLines/>
              <w:jc w:val="center"/>
              <w:rPr>
                <w:sz w:val="18"/>
              </w:rPr>
            </w:pPr>
            <w:r>
              <w:rPr>
                <w:sz w:val="18"/>
              </w:rPr>
              <w:t>0.0741</w:t>
            </w:r>
          </w:p>
        </w:tc>
        <w:tc>
          <w:tcPr>
            <w:tcW w:w="1123" w:type="dxa"/>
            <w:gridSpan w:val="2"/>
            <w:tcBorders/>
            <w:vAlign w:val="center"/>
          </w:tcPr>
          <w:p>
            <w:pPr>
              <w:pStyle w:val="TableBody"/>
              <w:keepNext w:val="true"/>
              <w:keepLines/>
              <w:jc w:val="center"/>
              <w:rPr>
                <w:sz w:val="18"/>
              </w:rPr>
            </w:pPr>
            <w:r>
              <w:rPr>
                <w:sz w:val="18"/>
              </w:rPr>
              <w:t>0.0673</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0.1206</w:t>
            </w:r>
          </w:p>
        </w:tc>
      </w:tr>
      <w:tr>
        <w:trPr/>
        <w:tc>
          <w:tcPr>
            <w:tcW w:w="1378" w:type="dxa"/>
            <w:tcBorders>
              <w:start w:val="single" w:sz="4" w:space="0" w:color="000000"/>
            </w:tcBorders>
            <w:vAlign w:val="center"/>
          </w:tcPr>
          <w:p>
            <w:pPr>
              <w:pStyle w:val="TableBody"/>
              <w:keepNext w:val="true"/>
              <w:keepLines/>
              <w:rPr>
                <w:sz w:val="18"/>
              </w:rPr>
            </w:pPr>
            <w:r>
              <w:rPr>
                <w:sz w:val="18"/>
              </w:rPr>
              <w:t>Power</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4" w:type="dxa"/>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0.0923</w:t>
            </w:r>
          </w:p>
        </w:tc>
        <w:tc>
          <w:tcPr>
            <w:tcW w:w="1124" w:type="dxa"/>
            <w:tcBorders>
              <w:end w:val="single" w:sz="4" w:space="0" w:color="000000"/>
            </w:tcBorders>
            <w:vAlign w:val="center"/>
          </w:tcPr>
          <w:p>
            <w:pPr>
              <w:pStyle w:val="TableBody"/>
              <w:keepNext w:val="true"/>
              <w:keepLines/>
              <w:jc w:val="center"/>
              <w:rPr>
                <w:sz w:val="18"/>
              </w:rPr>
            </w:pPr>
            <w:r>
              <w:rPr>
                <w:sz w:val="18"/>
              </w:rPr>
              <w:t>0.0888</w:t>
            </w:r>
          </w:p>
        </w:tc>
      </w:tr>
      <w:tr>
        <w:trPr/>
        <w:tc>
          <w:tcPr>
            <w:tcW w:w="1378" w:type="dxa"/>
            <w:tcBorders>
              <w:start w:val="single" w:sz="4" w:space="0" w:color="000000"/>
            </w:tcBorders>
            <w:vAlign w:val="center"/>
          </w:tcPr>
          <w:p>
            <w:pPr>
              <w:pStyle w:val="TableBody"/>
              <w:keepNext w:val="true"/>
              <w:keepLines/>
              <w:rPr>
                <w:sz w:val="18"/>
              </w:rPr>
            </w:pPr>
            <w:r>
              <w:rPr>
                <w:sz w:val="18"/>
              </w:rPr>
              <w:t>Residential</w:t>
            </w:r>
          </w:p>
        </w:tc>
        <w:tc>
          <w:tcPr>
            <w:tcW w:w="1123" w:type="dxa"/>
            <w:gridSpan w:val="2"/>
            <w:tcBorders/>
            <w:vAlign w:val="center"/>
          </w:tcPr>
          <w:p>
            <w:pPr>
              <w:pStyle w:val="TableBody"/>
              <w:keepNext w:val="true"/>
              <w:keepLines/>
              <w:jc w:val="center"/>
              <w:rPr>
                <w:sz w:val="18"/>
              </w:rPr>
            </w:pPr>
            <w:r>
              <w:rPr>
                <w:sz w:val="18"/>
              </w:rPr>
              <w:t>0.3897</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4" w:type="dxa"/>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0.1616</w:t>
            </w:r>
          </w:p>
        </w:tc>
        <w:tc>
          <w:tcPr>
            <w:tcW w:w="1124" w:type="dxa"/>
            <w:tcBorders>
              <w:end w:val="single" w:sz="4" w:space="0" w:color="000000"/>
            </w:tcBorders>
            <w:vAlign w:val="center"/>
          </w:tcPr>
          <w:p>
            <w:pPr>
              <w:pStyle w:val="TableBody"/>
              <w:keepNext w:val="true"/>
              <w:keepLines/>
              <w:jc w:val="center"/>
              <w:rPr>
                <w:sz w:val="18"/>
              </w:rPr>
            </w:pPr>
            <w:r>
              <w:rPr>
                <w:sz w:val="18"/>
              </w:rPr>
              <w:t>0.1616</w:t>
            </w:r>
          </w:p>
        </w:tc>
      </w:tr>
      <w:tr>
        <w:trPr/>
        <w:tc>
          <w:tcPr>
            <w:tcW w:w="1378" w:type="dxa"/>
            <w:tcBorders>
              <w:start w:val="single" w:sz="4" w:space="0" w:color="000000"/>
            </w:tcBorders>
            <w:vAlign w:val="center"/>
          </w:tcPr>
          <w:p>
            <w:pPr>
              <w:pStyle w:val="TableBody"/>
              <w:keepNext w:val="true"/>
              <w:keepLines/>
              <w:rPr>
                <w:sz w:val="18"/>
              </w:rPr>
            </w:pPr>
            <w:r>
              <w:rPr>
                <w:sz w:val="18"/>
              </w:rPr>
              <w:t>Commercial</w:t>
            </w:r>
          </w:p>
        </w:tc>
        <w:tc>
          <w:tcPr>
            <w:tcW w:w="1123" w:type="dxa"/>
            <w:gridSpan w:val="2"/>
            <w:tcBorders/>
            <w:vAlign w:val="center"/>
          </w:tcPr>
          <w:p>
            <w:pPr>
              <w:pStyle w:val="TableBody"/>
              <w:keepNext w:val="true"/>
              <w:keepLines/>
              <w:jc w:val="center"/>
              <w:rPr>
                <w:sz w:val="18"/>
              </w:rPr>
            </w:pPr>
            <w:r>
              <w:rPr>
                <w:sz w:val="18"/>
              </w:rPr>
              <w:t>0.3657</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4" w:type="dxa"/>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0.1616</w:t>
            </w:r>
          </w:p>
        </w:tc>
        <w:tc>
          <w:tcPr>
            <w:tcW w:w="1124" w:type="dxa"/>
            <w:tcBorders>
              <w:end w:val="single" w:sz="4" w:space="0" w:color="000000"/>
            </w:tcBorders>
            <w:vAlign w:val="center"/>
          </w:tcPr>
          <w:p>
            <w:pPr>
              <w:pStyle w:val="TableBody"/>
              <w:keepNext w:val="true"/>
              <w:keepLines/>
              <w:jc w:val="center"/>
              <w:rPr>
                <w:sz w:val="18"/>
              </w:rPr>
            </w:pPr>
            <w:r>
              <w:rPr>
                <w:sz w:val="18"/>
              </w:rPr>
              <w:t>0.1616</w:t>
            </w:r>
          </w:p>
        </w:tc>
      </w:tr>
      <w:tr>
        <w:trPr/>
        <w:tc>
          <w:tcPr>
            <w:tcW w:w="1378" w:type="dxa"/>
            <w:tcBorders>
              <w:start w:val="single" w:sz="4" w:space="0" w:color="000000"/>
            </w:tcBorders>
            <w:vAlign w:val="center"/>
          </w:tcPr>
          <w:p>
            <w:pPr>
              <w:pStyle w:val="TableBody"/>
              <w:keepNext w:val="true"/>
              <w:keepLines/>
              <w:rPr>
                <w:sz w:val="18"/>
              </w:rPr>
            </w:pPr>
            <w:r>
              <w:rPr>
                <w:sz w:val="18"/>
              </w:rPr>
              <w:t>Cogeneration</w:t>
            </w:r>
          </w:p>
        </w:tc>
        <w:tc>
          <w:tcPr>
            <w:tcW w:w="1123" w:type="dxa"/>
            <w:gridSpan w:val="2"/>
            <w:tcBorders/>
            <w:vAlign w:val="center"/>
          </w:tcPr>
          <w:p>
            <w:pPr>
              <w:pStyle w:val="TableBody"/>
              <w:keepNext w:val="true"/>
              <w:keepLines/>
              <w:jc w:val="center"/>
              <w:rPr>
                <w:sz w:val="18"/>
              </w:rPr>
            </w:pPr>
            <w:r>
              <w:rPr>
                <w:sz w:val="18"/>
              </w:rPr>
              <w:t>0.0902</w:t>
            </w:r>
          </w:p>
        </w:tc>
        <w:tc>
          <w:tcPr>
            <w:tcW w:w="1123" w:type="dxa"/>
            <w:gridSpan w:val="2"/>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0.0795</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0.0824</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snapToGrid w:val="false"/>
              <w:jc w:val="center"/>
              <w:rPr>
                <w:sz w:val="18"/>
              </w:rPr>
            </w:pPr>
            <w:r>
              <w:rPr>
                <w:sz w:val="18"/>
              </w:rPr>
            </w:r>
          </w:p>
        </w:tc>
      </w:tr>
      <w:tr>
        <w:trPr/>
        <w:tc>
          <w:tcPr>
            <w:tcW w:w="1378" w:type="dxa"/>
            <w:tcBorders>
              <w:start w:val="single" w:sz="4" w:space="0" w:color="000000"/>
            </w:tcBorders>
            <w:vAlign w:val="center"/>
          </w:tcPr>
          <w:p>
            <w:pPr>
              <w:pStyle w:val="TableBody"/>
              <w:keepNext w:val="true"/>
              <w:keepLines/>
              <w:rPr>
                <w:sz w:val="18"/>
              </w:rPr>
            </w:pPr>
            <w:r>
              <w:rPr>
                <w:sz w:val="18"/>
              </w:rPr>
              <w:t>Cement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0.0666</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keepNext w:val="true"/>
              <w:keepLines/>
              <w:rPr>
                <w:sz w:val="18"/>
              </w:rPr>
            </w:pPr>
            <w:r>
              <w:rPr>
                <w:sz w:val="18"/>
              </w:rPr>
              <w:t>Refinery Gas</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4" w:type="dxa"/>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w:t>
            </w:r>
          </w:p>
        </w:tc>
        <w:tc>
          <w:tcPr>
            <w:tcW w:w="1123" w:type="dxa"/>
            <w:gridSpan w:val="2"/>
            <w:tcBorders/>
            <w:vAlign w:val="center"/>
          </w:tcPr>
          <w:p>
            <w:pPr>
              <w:pStyle w:val="TableBody"/>
              <w:keepNext w:val="true"/>
              <w:keepLines/>
              <w:jc w:val="center"/>
              <w:rPr>
                <w:sz w:val="18"/>
              </w:rPr>
            </w:pPr>
            <w:r>
              <w:rPr>
                <w:sz w:val="18"/>
              </w:rPr>
              <w:t>0.1088</w:t>
            </w:r>
          </w:p>
        </w:tc>
        <w:tc>
          <w:tcPr>
            <w:tcW w:w="1124" w:type="dxa"/>
            <w:tcBorders>
              <w:end w:val="single" w:sz="4" w:space="0" w:color="000000"/>
            </w:tcBorders>
            <w:vAlign w:val="center"/>
          </w:tcPr>
          <w:p>
            <w:pPr>
              <w:pStyle w:val="TableBody"/>
              <w:keepNext w:val="true"/>
              <w:keepLines/>
              <w:jc w:val="center"/>
              <w:rPr>
                <w:sz w:val="18"/>
              </w:rPr>
            </w:pPr>
            <w:r>
              <w:rPr>
                <w:sz w:val="18"/>
              </w:rPr>
              <w:t>-</w:t>
            </w:r>
          </w:p>
        </w:tc>
      </w:tr>
      <w:tr>
        <w:trPr/>
        <w:tc>
          <w:tcPr>
            <w:tcW w:w="1378" w:type="dxa"/>
            <w:tcBorders>
              <w:start w:val="single" w:sz="4" w:space="0" w:color="000000"/>
            </w:tcBorders>
            <w:vAlign w:val="center"/>
          </w:tcPr>
          <w:p>
            <w:pPr>
              <w:pStyle w:val="TableBody"/>
              <w:rPr>
                <w:sz w:val="18"/>
              </w:rPr>
            </w:pPr>
            <w:r>
              <w:rPr>
                <w:sz w:val="18"/>
              </w:rPr>
              <w:t>Natural Gas</w:t>
            </w:r>
          </w:p>
        </w:tc>
        <w:tc>
          <w:tcPr>
            <w:tcW w:w="1123" w:type="dxa"/>
            <w:gridSpan w:val="2"/>
            <w:tcBorders/>
            <w:vAlign w:val="center"/>
          </w:tcPr>
          <w:p>
            <w:pPr>
              <w:pStyle w:val="TableBody"/>
              <w:jc w:val="center"/>
              <w:rPr>
                <w:sz w:val="18"/>
              </w:rPr>
            </w:pPr>
            <w:r>
              <w:rPr>
                <w:sz w:val="18"/>
              </w:rPr>
              <w:t>-</w:t>
            </w:r>
          </w:p>
        </w:tc>
        <w:tc>
          <w:tcPr>
            <w:tcW w:w="1123" w:type="dxa"/>
            <w:gridSpan w:val="2"/>
            <w:tcBorders/>
            <w:vAlign w:val="center"/>
          </w:tcPr>
          <w:p>
            <w:pPr>
              <w:pStyle w:val="TableBody"/>
              <w:jc w:val="center"/>
              <w:rPr>
                <w:sz w:val="18"/>
              </w:rPr>
            </w:pPr>
            <w:r>
              <w:rPr>
                <w:sz w:val="18"/>
              </w:rPr>
              <w:t>-</w:t>
            </w:r>
          </w:p>
        </w:tc>
        <w:tc>
          <w:tcPr>
            <w:tcW w:w="1123" w:type="dxa"/>
            <w:gridSpan w:val="2"/>
            <w:tcBorders/>
            <w:vAlign w:val="center"/>
          </w:tcPr>
          <w:p>
            <w:pPr>
              <w:pStyle w:val="TableBody"/>
              <w:jc w:val="center"/>
              <w:rPr>
                <w:sz w:val="18"/>
              </w:rPr>
            </w:pPr>
            <w:r>
              <w:rPr>
                <w:sz w:val="18"/>
              </w:rPr>
              <w:t>-</w:t>
            </w:r>
          </w:p>
        </w:tc>
        <w:tc>
          <w:tcPr>
            <w:tcW w:w="1124" w:type="dxa"/>
            <w:tcBorders/>
            <w:vAlign w:val="center"/>
          </w:tcPr>
          <w:p>
            <w:pPr>
              <w:pStyle w:val="TableBody"/>
              <w:jc w:val="center"/>
              <w:rPr>
                <w:sz w:val="18"/>
              </w:rPr>
            </w:pPr>
            <w:r>
              <w:rPr>
                <w:sz w:val="18"/>
              </w:rPr>
              <w:t>-</w:t>
            </w:r>
          </w:p>
        </w:tc>
        <w:tc>
          <w:tcPr>
            <w:tcW w:w="1123" w:type="dxa"/>
            <w:gridSpan w:val="2"/>
            <w:tcBorders/>
            <w:vAlign w:val="center"/>
          </w:tcPr>
          <w:p>
            <w:pPr>
              <w:pStyle w:val="TableBody"/>
              <w:jc w:val="center"/>
              <w:rPr>
                <w:sz w:val="18"/>
              </w:rPr>
            </w:pPr>
            <w:r>
              <w:rPr>
                <w:sz w:val="18"/>
              </w:rPr>
              <w:t>-</w:t>
            </w:r>
          </w:p>
        </w:tc>
        <w:tc>
          <w:tcPr>
            <w:tcW w:w="1123" w:type="dxa"/>
            <w:gridSpan w:val="2"/>
            <w:tcBorders/>
            <w:vAlign w:val="center"/>
          </w:tcPr>
          <w:p>
            <w:pPr>
              <w:pStyle w:val="TableBody"/>
              <w:jc w:val="center"/>
              <w:rPr>
                <w:sz w:val="18"/>
              </w:rPr>
            </w:pPr>
            <w:r>
              <w:rPr>
                <w:sz w:val="18"/>
              </w:rPr>
              <w:t>0.1212</w:t>
            </w:r>
          </w:p>
        </w:tc>
        <w:tc>
          <w:tcPr>
            <w:tcW w:w="1124" w:type="dxa"/>
            <w:tcBorders>
              <w:end w:val="single" w:sz="4" w:space="0" w:color="000000"/>
            </w:tcBorders>
            <w:vAlign w:val="center"/>
          </w:tcPr>
          <w:p>
            <w:pPr>
              <w:pStyle w:val="TableBody"/>
              <w:jc w:val="center"/>
              <w:rPr>
                <w:sz w:val="18"/>
              </w:rPr>
            </w:pPr>
            <w:r>
              <w:rPr>
                <w:sz w:val="18"/>
              </w:rPr>
              <w:t>-</w:t>
            </w:r>
          </w:p>
        </w:tc>
      </w:tr>
      <w:tr>
        <w:trPr/>
        <w:tc>
          <w:tcPr>
            <w:tcW w:w="1378" w:type="dxa"/>
            <w:tcBorders>
              <w:start w:val="single" w:sz="4" w:space="0" w:color="000000"/>
              <w:bottom w:val="single" w:sz="4" w:space="0" w:color="000000"/>
            </w:tcBorders>
            <w:vAlign w:val="center"/>
          </w:tcPr>
          <w:p>
            <w:pPr>
              <w:pStyle w:val="TableBody"/>
              <w:rPr>
                <w:sz w:val="18"/>
              </w:rPr>
            </w:pPr>
            <w:r>
              <w:rPr>
                <w:sz w:val="18"/>
              </w:rPr>
              <w:t>Ceramic</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4" w:type="dxa"/>
            <w:tcBorders>
              <w:bottom w:val="single" w:sz="4" w:space="0" w:color="000000"/>
            </w:tcBorders>
            <w:vAlign w:val="center"/>
          </w:tcPr>
          <w:p>
            <w:pPr>
              <w:pStyle w:val="TableBody"/>
              <w:jc w:val="center"/>
              <w:rPr>
                <w:sz w:val="18"/>
              </w:rPr>
            </w:pPr>
            <w:r>
              <w:rPr>
                <w:sz w:val="18"/>
              </w:rPr>
              <w:t>-</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3" w:type="dxa"/>
            <w:gridSpan w:val="2"/>
            <w:tcBorders>
              <w:bottom w:val="single" w:sz="4" w:space="0" w:color="000000"/>
            </w:tcBorders>
            <w:vAlign w:val="center"/>
          </w:tcPr>
          <w:p>
            <w:pPr>
              <w:pStyle w:val="TableBody"/>
              <w:jc w:val="center"/>
              <w:rPr>
                <w:sz w:val="18"/>
              </w:rPr>
            </w:pPr>
            <w:r>
              <w:rPr>
                <w:sz w:val="18"/>
              </w:rPr>
              <w:t>-</w:t>
            </w:r>
          </w:p>
        </w:tc>
        <w:tc>
          <w:tcPr>
            <w:tcW w:w="1124" w:type="dxa"/>
            <w:tcBorders>
              <w:bottom w:val="single" w:sz="4" w:space="0" w:color="000000"/>
              <w:end w:val="single" w:sz="4" w:space="0" w:color="000000"/>
            </w:tcBorders>
            <w:vAlign w:val="center"/>
          </w:tcPr>
          <w:p>
            <w:pPr>
              <w:pStyle w:val="TableBody"/>
              <w:jc w:val="center"/>
              <w:rPr>
                <w:sz w:val="18"/>
              </w:rPr>
            </w:pPr>
            <w:r>
              <w:rPr>
                <w:sz w:val="18"/>
              </w:rPr>
              <w:t>0.1307</w:t>
            </w:r>
          </w:p>
        </w:tc>
      </w:tr>
    </w:tbl>
    <w:p>
      <w:pPr>
        <w:pStyle w:val="Normal"/>
        <w:rPr/>
      </w:pPr>
      <w:r>
        <w:rPr/>
      </w:r>
    </w:p>
    <w:p>
      <w:pPr>
        <w:pStyle w:val="Heading3"/>
        <w:ind w:hanging="0" w:start="0"/>
        <w:rPr/>
      </w:pPr>
      <w:r>
        <w:rPr/>
        <w:t>Commercial Structure</w:t>
      </w:r>
    </w:p>
    <w:p>
      <w:pPr>
        <w:pStyle w:val="Heading4"/>
        <w:ind w:hanging="0" w:start="0"/>
        <w:rPr/>
      </w:pPr>
      <w:r>
        <w:rPr/>
        <w:t>Customers and Consumption</w:t>
      </w:r>
    </w:p>
    <w:p>
      <w:pPr>
        <w:pStyle w:val="Heading5"/>
        <w:rPr/>
      </w:pPr>
      <w:r>
        <w:rPr/>
        <w:t>Current</w:t>
      </w:r>
    </w:p>
    <w:p>
      <w:pPr>
        <w:pStyle w:val="Normal"/>
        <w:rPr/>
      </w:pPr>
      <w:r>
        <w:rPr/>
        <w:t>The Gaspart LDCs have the exclusive rights to distribute piped gas to all industrial, commercial, residential, automotive and petrochemical customers in their respective concession areas.</w:t>
      </w:r>
    </w:p>
    <w:p>
      <w:pPr>
        <w:pStyle w:val="BLKmed1st1"/>
        <w:keepNext w:val="true"/>
        <w:numPr>
          <w:ilvl w:val="0"/>
          <w:numId w:val="0"/>
        </w:numPr>
        <w:outlineLvl w:val="0"/>
        <w:rPr/>
      </w:pPr>
      <w:r>
        <w:rPr>
          <w:rStyle w:val="boldund"/>
          <w:b w:val="false"/>
        </w:rPr>
        <w:t>Industrial Customers</w:t>
      </w:r>
    </w:p>
    <w:p>
      <w:pPr>
        <w:pStyle w:val="BLKmed1st1"/>
        <w:rPr/>
      </w:pPr>
      <w:r>
        <w:rPr/>
        <w:t>The Gaspart LDCs had the following industrial customers as of September 1999:</w:t>
      </w:r>
    </w:p>
    <w:p>
      <w:pPr>
        <w:pStyle w:val="BLKmed1st1"/>
        <w:keepNext w:val="true"/>
        <w:numPr>
          <w:ilvl w:val="0"/>
          <w:numId w:val="0"/>
        </w:numPr>
        <w:outlineLvl w:val="0"/>
        <w:rPr/>
      </w:pPr>
      <w:r>
        <w:rPr/>
        <w:t>Northern LDCs</w:t>
      </w:r>
    </w:p>
    <w:tbl>
      <w:tblPr>
        <w:tblW w:w="6690" w:type="dxa"/>
        <w:jc w:val="start"/>
        <w:tblInd w:w="0" w:type="dxa"/>
        <w:tblLayout w:type="fixed"/>
        <w:tblCellMar>
          <w:top w:w="0" w:type="dxa"/>
          <w:start w:w="108" w:type="dxa"/>
          <w:bottom w:w="0" w:type="dxa"/>
          <w:end w:w="108" w:type="dxa"/>
        </w:tblCellMar>
      </w:tblPr>
      <w:tblGrid>
        <w:gridCol w:w="1818"/>
        <w:gridCol w:w="974"/>
        <w:gridCol w:w="974"/>
        <w:gridCol w:w="975"/>
        <w:gridCol w:w="974"/>
        <w:gridCol w:w="975"/>
      </w:tblGrid>
      <w:tr>
        <w:trPr/>
        <w:tc>
          <w:tcPr>
            <w:tcW w:w="1818" w:type="dxa"/>
            <w:tcBorders>
              <w:top w:val="single" w:sz="4" w:space="0" w:color="000000"/>
              <w:start w:val="single" w:sz="4" w:space="0" w:color="000000"/>
              <w:bottom w:val="single" w:sz="4" w:space="0" w:color="000000"/>
            </w:tcBorders>
            <w:shd w:fill="FFFF00" w:val="clear"/>
          </w:tcPr>
          <w:p>
            <w:pPr>
              <w:pStyle w:val="TableHead"/>
              <w:pBdr>
                <w:bottom w:val="nil"/>
              </w:pBdr>
              <w:snapToGrid w:val="false"/>
              <w:rPr>
                <w:sz w:val="18"/>
              </w:rPr>
            </w:pPr>
            <w:r>
              <w:rPr>
                <w:sz w:val="18"/>
              </w:rPr>
            </w:r>
          </w:p>
        </w:tc>
        <w:tc>
          <w:tcPr>
            <w:tcW w:w="974" w:type="dxa"/>
            <w:tcBorders>
              <w:top w:val="single" w:sz="4" w:space="0" w:color="000000"/>
              <w:bottom w:val="single" w:sz="4" w:space="0" w:color="000000"/>
            </w:tcBorders>
            <w:shd w:fill="FFFF00" w:val="clear"/>
          </w:tcPr>
          <w:p>
            <w:pPr>
              <w:pStyle w:val="TableHead"/>
              <w:pBdr>
                <w:bottom w:val="nil"/>
              </w:pBdr>
              <w:rPr>
                <w:sz w:val="18"/>
              </w:rPr>
            </w:pPr>
            <w:r>
              <w:rPr>
                <w:sz w:val="18"/>
              </w:rPr>
              <w:t>Bahiagás</w:t>
            </w:r>
          </w:p>
        </w:tc>
        <w:tc>
          <w:tcPr>
            <w:tcW w:w="974" w:type="dxa"/>
            <w:tcBorders>
              <w:top w:val="single" w:sz="4" w:space="0" w:color="000000"/>
              <w:bottom w:val="single" w:sz="4" w:space="0" w:color="000000"/>
            </w:tcBorders>
            <w:shd w:fill="FFFF00" w:val="clear"/>
          </w:tcPr>
          <w:p>
            <w:pPr>
              <w:pStyle w:val="TableHead"/>
              <w:pBdr>
                <w:bottom w:val="nil"/>
              </w:pBdr>
              <w:rPr>
                <w:sz w:val="18"/>
              </w:rPr>
            </w:pPr>
            <w:r>
              <w:rPr>
                <w:sz w:val="18"/>
              </w:rPr>
              <w:t>Emsergás</w:t>
            </w:r>
          </w:p>
        </w:tc>
        <w:tc>
          <w:tcPr>
            <w:tcW w:w="975" w:type="dxa"/>
            <w:tcBorders>
              <w:top w:val="single" w:sz="4" w:space="0" w:color="000000"/>
              <w:bottom w:val="single" w:sz="4" w:space="0" w:color="000000"/>
            </w:tcBorders>
            <w:shd w:fill="FFFF00" w:val="clear"/>
          </w:tcPr>
          <w:p>
            <w:pPr>
              <w:pStyle w:val="TableHead"/>
              <w:pBdr>
                <w:bottom w:val="nil"/>
              </w:pBdr>
              <w:rPr>
                <w:sz w:val="18"/>
              </w:rPr>
            </w:pPr>
            <w:r>
              <w:rPr>
                <w:sz w:val="18"/>
              </w:rPr>
              <w:t>Copergás</w:t>
            </w:r>
          </w:p>
        </w:tc>
        <w:tc>
          <w:tcPr>
            <w:tcW w:w="974" w:type="dxa"/>
            <w:tcBorders>
              <w:top w:val="single" w:sz="4" w:space="0" w:color="000000"/>
              <w:bottom w:val="single" w:sz="4" w:space="0" w:color="000000"/>
            </w:tcBorders>
            <w:shd w:fill="FFFF00" w:val="clear"/>
          </w:tcPr>
          <w:p>
            <w:pPr>
              <w:pStyle w:val="TableHead"/>
              <w:pBdr>
                <w:bottom w:val="nil"/>
              </w:pBdr>
              <w:rPr>
                <w:sz w:val="18"/>
              </w:rPr>
            </w:pPr>
            <w:r>
              <w:rPr>
                <w:sz w:val="18"/>
              </w:rPr>
              <w:t>Algás</w:t>
            </w:r>
          </w:p>
        </w:tc>
        <w:tc>
          <w:tcPr>
            <w:tcW w:w="975" w:type="dxa"/>
            <w:tcBorders>
              <w:top w:val="single" w:sz="4" w:space="0" w:color="000000"/>
              <w:bottom w:val="single" w:sz="4" w:space="0" w:color="000000"/>
              <w:end w:val="single" w:sz="4" w:space="0" w:color="000000"/>
            </w:tcBorders>
            <w:shd w:fill="FFFF00" w:val="clear"/>
          </w:tcPr>
          <w:p>
            <w:pPr>
              <w:pStyle w:val="TableHead"/>
              <w:pBdr>
                <w:bottom w:val="nil"/>
              </w:pBdr>
              <w:rPr>
                <w:sz w:val="18"/>
              </w:rPr>
            </w:pPr>
            <w:r>
              <w:rPr>
                <w:sz w:val="18"/>
              </w:rPr>
              <w:t>PBGás</w:t>
            </w:r>
          </w:p>
        </w:tc>
      </w:tr>
      <w:tr>
        <w:trPr/>
        <w:tc>
          <w:tcPr>
            <w:tcW w:w="1818" w:type="dxa"/>
            <w:tcBorders>
              <w:start w:val="single" w:sz="4" w:space="0" w:color="000000"/>
            </w:tcBorders>
          </w:tcPr>
          <w:p>
            <w:pPr>
              <w:pStyle w:val="TableHeadSpace"/>
              <w:rPr>
                <w:vanish/>
                <w:color w:val="FF00FF"/>
              </w:rPr>
            </w:pPr>
            <w:r>
              <w:rPr>
                <w:vanish/>
                <w:color w:val="FF00FF"/>
              </w:rPr>
              <w:t>Do not delete</w:t>
            </w:r>
          </w:p>
        </w:tc>
        <w:tc>
          <w:tcPr>
            <w:tcW w:w="974" w:type="dxa"/>
            <w:tcBorders/>
          </w:tcPr>
          <w:p>
            <w:pPr>
              <w:pStyle w:val="TableHeadSpace"/>
              <w:snapToGrid w:val="false"/>
              <w:rPr>
                <w:vanish/>
                <w:color w:val="FF00FF"/>
              </w:rPr>
            </w:pPr>
            <w:r>
              <w:rPr>
                <w:vanish/>
                <w:color w:val="FF00FF"/>
              </w:rPr>
            </w:r>
          </w:p>
        </w:tc>
        <w:tc>
          <w:tcPr>
            <w:tcW w:w="974" w:type="dxa"/>
            <w:tcBorders/>
          </w:tcPr>
          <w:p>
            <w:pPr>
              <w:pStyle w:val="TableHeadSpace"/>
              <w:snapToGrid w:val="false"/>
              <w:rPr/>
            </w:pPr>
            <w:r>
              <w:rPr/>
            </w:r>
          </w:p>
        </w:tc>
        <w:tc>
          <w:tcPr>
            <w:tcW w:w="975" w:type="dxa"/>
            <w:tcBorders/>
          </w:tcPr>
          <w:p>
            <w:pPr>
              <w:pStyle w:val="TableHeadSpace"/>
              <w:snapToGrid w:val="false"/>
              <w:rPr/>
            </w:pPr>
            <w:r>
              <w:rPr/>
            </w:r>
          </w:p>
        </w:tc>
        <w:tc>
          <w:tcPr>
            <w:tcW w:w="974" w:type="dxa"/>
            <w:tcBorders/>
          </w:tcPr>
          <w:p>
            <w:pPr>
              <w:pStyle w:val="TableHeadSpace"/>
              <w:snapToGrid w:val="false"/>
              <w:rPr/>
            </w:pPr>
            <w:r>
              <w:rPr/>
            </w:r>
          </w:p>
        </w:tc>
        <w:tc>
          <w:tcPr>
            <w:tcW w:w="975" w:type="dxa"/>
            <w:tcBorders>
              <w:end w:val="single" w:sz="4" w:space="0" w:color="000000"/>
            </w:tcBorders>
          </w:tcPr>
          <w:p>
            <w:pPr>
              <w:pStyle w:val="TableHeadSpace"/>
              <w:snapToGrid w:val="false"/>
              <w:rPr>
                <w:caps w:val="false"/>
                <w:smallCaps w:val="false"/>
              </w:rPr>
            </w:pPr>
            <w:r>
              <w:rPr>
                <w:caps w:val="false"/>
                <w:smallCaps w:val="false"/>
              </w:rPr>
            </w:r>
          </w:p>
        </w:tc>
      </w:tr>
      <w:tr>
        <w:trPr/>
        <w:tc>
          <w:tcPr>
            <w:tcW w:w="1818" w:type="dxa"/>
            <w:tcBorders>
              <w:start w:val="single" w:sz="4" w:space="0" w:color="000000"/>
            </w:tcBorders>
          </w:tcPr>
          <w:p>
            <w:pPr>
              <w:pStyle w:val="TableBody"/>
              <w:rPr>
                <w:sz w:val="18"/>
              </w:rPr>
            </w:pPr>
            <w:r>
              <w:rPr>
                <w:sz w:val="18"/>
              </w:rPr>
              <w:t># of customers</w:t>
            </w:r>
          </w:p>
        </w:tc>
        <w:tc>
          <w:tcPr>
            <w:tcW w:w="974" w:type="dxa"/>
            <w:tcBorders/>
          </w:tcPr>
          <w:p>
            <w:pPr>
              <w:pStyle w:val="TableBody"/>
              <w:jc w:val="center"/>
              <w:rPr>
                <w:sz w:val="18"/>
              </w:rPr>
            </w:pPr>
            <w:r>
              <w:rPr>
                <w:sz w:val="18"/>
              </w:rPr>
              <w:t>31</w:t>
            </w:r>
          </w:p>
        </w:tc>
        <w:tc>
          <w:tcPr>
            <w:tcW w:w="974" w:type="dxa"/>
            <w:tcBorders/>
          </w:tcPr>
          <w:p>
            <w:pPr>
              <w:pStyle w:val="TableBody"/>
              <w:jc w:val="center"/>
              <w:rPr>
                <w:sz w:val="18"/>
              </w:rPr>
            </w:pPr>
            <w:r>
              <w:rPr>
                <w:sz w:val="18"/>
              </w:rPr>
              <w:t>21</w:t>
            </w:r>
          </w:p>
        </w:tc>
        <w:tc>
          <w:tcPr>
            <w:tcW w:w="975" w:type="dxa"/>
            <w:tcBorders/>
          </w:tcPr>
          <w:p>
            <w:pPr>
              <w:pStyle w:val="TableBody"/>
              <w:jc w:val="center"/>
              <w:rPr>
                <w:sz w:val="18"/>
              </w:rPr>
            </w:pPr>
            <w:r>
              <w:rPr>
                <w:sz w:val="18"/>
              </w:rPr>
              <w:t>46</w:t>
            </w:r>
          </w:p>
        </w:tc>
        <w:tc>
          <w:tcPr>
            <w:tcW w:w="974" w:type="dxa"/>
            <w:tcBorders/>
          </w:tcPr>
          <w:p>
            <w:pPr>
              <w:pStyle w:val="TableBody"/>
              <w:jc w:val="center"/>
              <w:rPr>
                <w:sz w:val="18"/>
              </w:rPr>
            </w:pPr>
            <w:r>
              <w:rPr>
                <w:sz w:val="18"/>
              </w:rPr>
              <w:t>6</w:t>
            </w:r>
          </w:p>
        </w:tc>
        <w:tc>
          <w:tcPr>
            <w:tcW w:w="975" w:type="dxa"/>
            <w:tcBorders>
              <w:end w:val="single" w:sz="4" w:space="0" w:color="000000"/>
            </w:tcBorders>
          </w:tcPr>
          <w:p>
            <w:pPr>
              <w:pStyle w:val="TableBody"/>
              <w:jc w:val="center"/>
              <w:rPr>
                <w:sz w:val="18"/>
              </w:rPr>
            </w:pPr>
            <w:r>
              <w:rPr>
                <w:sz w:val="18"/>
              </w:rPr>
              <w:t>21</w:t>
            </w:r>
          </w:p>
        </w:tc>
      </w:tr>
      <w:tr>
        <w:trPr/>
        <w:tc>
          <w:tcPr>
            <w:tcW w:w="1818" w:type="dxa"/>
            <w:tcBorders>
              <w:start w:val="single" w:sz="4" w:space="0" w:color="000000"/>
            </w:tcBorders>
          </w:tcPr>
          <w:p>
            <w:pPr>
              <w:pStyle w:val="TableBody"/>
              <w:rPr/>
            </w:pPr>
            <w:r>
              <w:rPr>
                <w:sz w:val="18"/>
              </w:rPr>
              <w:t>Volume (m</w:t>
            </w:r>
            <w:r>
              <w:rPr>
                <w:sz w:val="18"/>
                <w:vertAlign w:val="superscript"/>
              </w:rPr>
              <w:t>3</w:t>
            </w:r>
            <w:r>
              <w:rPr>
                <w:sz w:val="18"/>
              </w:rPr>
              <w:t>/day)</w:t>
            </w:r>
          </w:p>
        </w:tc>
        <w:tc>
          <w:tcPr>
            <w:tcW w:w="974" w:type="dxa"/>
            <w:tcBorders/>
          </w:tcPr>
          <w:p>
            <w:pPr>
              <w:pStyle w:val="TableBody"/>
              <w:jc w:val="center"/>
              <w:rPr>
                <w:sz w:val="18"/>
                <w:vertAlign w:val="superscript"/>
              </w:rPr>
            </w:pPr>
            <w:r>
              <w:rPr>
                <w:sz w:val="18"/>
              </w:rPr>
              <w:t>2.8MM</w:t>
            </w:r>
          </w:p>
        </w:tc>
        <w:tc>
          <w:tcPr>
            <w:tcW w:w="974" w:type="dxa"/>
            <w:tcBorders/>
          </w:tcPr>
          <w:p>
            <w:pPr>
              <w:pStyle w:val="TableBody"/>
              <w:jc w:val="center"/>
              <w:rPr>
                <w:sz w:val="18"/>
              </w:rPr>
            </w:pPr>
            <w:r>
              <w:rPr>
                <w:sz w:val="18"/>
              </w:rPr>
              <w:t>119K</w:t>
            </w:r>
          </w:p>
        </w:tc>
        <w:tc>
          <w:tcPr>
            <w:tcW w:w="975" w:type="dxa"/>
            <w:tcBorders/>
          </w:tcPr>
          <w:p>
            <w:pPr>
              <w:pStyle w:val="TableBody"/>
              <w:jc w:val="center"/>
              <w:rPr>
                <w:sz w:val="18"/>
              </w:rPr>
            </w:pPr>
            <w:r>
              <w:rPr>
                <w:sz w:val="18"/>
              </w:rPr>
              <w:t>579K</w:t>
            </w:r>
          </w:p>
        </w:tc>
        <w:tc>
          <w:tcPr>
            <w:tcW w:w="974" w:type="dxa"/>
            <w:tcBorders/>
          </w:tcPr>
          <w:p>
            <w:pPr>
              <w:pStyle w:val="TableBody"/>
              <w:jc w:val="center"/>
              <w:rPr>
                <w:sz w:val="18"/>
              </w:rPr>
            </w:pPr>
            <w:r>
              <w:rPr>
                <w:sz w:val="18"/>
              </w:rPr>
              <w:t>479K</w:t>
            </w:r>
          </w:p>
        </w:tc>
        <w:tc>
          <w:tcPr>
            <w:tcW w:w="975" w:type="dxa"/>
            <w:tcBorders>
              <w:end w:val="single" w:sz="4" w:space="0" w:color="000000"/>
            </w:tcBorders>
          </w:tcPr>
          <w:p>
            <w:pPr>
              <w:pStyle w:val="TableBody"/>
              <w:jc w:val="center"/>
              <w:rPr>
                <w:sz w:val="18"/>
              </w:rPr>
            </w:pPr>
            <w:r>
              <w:rPr>
                <w:sz w:val="18"/>
              </w:rPr>
              <w:t>121K</w:t>
            </w:r>
          </w:p>
        </w:tc>
      </w:tr>
      <w:tr>
        <w:trPr/>
        <w:tc>
          <w:tcPr>
            <w:tcW w:w="1818" w:type="dxa"/>
            <w:tcBorders>
              <w:start w:val="single" w:sz="4" w:space="0" w:color="000000"/>
              <w:bottom w:val="single" w:sz="4" w:space="0" w:color="000000"/>
            </w:tcBorders>
          </w:tcPr>
          <w:p>
            <w:pPr>
              <w:pStyle w:val="TableSpacer"/>
              <w:snapToGrid w:val="false"/>
              <w:rPr>
                <w:sz w:val="18"/>
              </w:rPr>
            </w:pPr>
            <w:r>
              <w:rPr>
                <w:sz w:val="18"/>
              </w:rPr>
            </w:r>
          </w:p>
        </w:tc>
        <w:tc>
          <w:tcPr>
            <w:tcW w:w="974" w:type="dxa"/>
            <w:tcBorders>
              <w:bottom w:val="single" w:sz="4" w:space="0" w:color="000000"/>
            </w:tcBorders>
          </w:tcPr>
          <w:p>
            <w:pPr>
              <w:pStyle w:val="TableSpacer"/>
              <w:snapToGrid w:val="false"/>
              <w:rPr>
                <w:sz w:val="18"/>
              </w:rPr>
            </w:pPr>
            <w:r>
              <w:rPr>
                <w:sz w:val="18"/>
              </w:rPr>
            </w:r>
          </w:p>
        </w:tc>
        <w:tc>
          <w:tcPr>
            <w:tcW w:w="974" w:type="dxa"/>
            <w:tcBorders>
              <w:bottom w:val="single" w:sz="4" w:space="0" w:color="000000"/>
            </w:tcBorders>
          </w:tcPr>
          <w:p>
            <w:pPr>
              <w:pStyle w:val="TableSpacer"/>
              <w:snapToGrid w:val="false"/>
              <w:rPr>
                <w:sz w:val="18"/>
              </w:rPr>
            </w:pPr>
            <w:r>
              <w:rPr>
                <w:sz w:val="18"/>
              </w:rPr>
            </w:r>
          </w:p>
        </w:tc>
        <w:tc>
          <w:tcPr>
            <w:tcW w:w="975" w:type="dxa"/>
            <w:tcBorders>
              <w:bottom w:val="single" w:sz="4" w:space="0" w:color="000000"/>
            </w:tcBorders>
          </w:tcPr>
          <w:p>
            <w:pPr>
              <w:pStyle w:val="TableSpacer"/>
              <w:snapToGrid w:val="false"/>
              <w:rPr>
                <w:sz w:val="18"/>
              </w:rPr>
            </w:pPr>
            <w:r>
              <w:rPr>
                <w:sz w:val="18"/>
              </w:rPr>
            </w:r>
          </w:p>
        </w:tc>
        <w:tc>
          <w:tcPr>
            <w:tcW w:w="974" w:type="dxa"/>
            <w:tcBorders>
              <w:bottom w:val="single" w:sz="4" w:space="0" w:color="000000"/>
            </w:tcBorders>
          </w:tcPr>
          <w:p>
            <w:pPr>
              <w:pStyle w:val="TableSpacer"/>
              <w:snapToGrid w:val="false"/>
              <w:rPr>
                <w:sz w:val="18"/>
              </w:rPr>
            </w:pPr>
            <w:r>
              <w:rPr>
                <w:sz w:val="18"/>
              </w:rPr>
            </w:r>
          </w:p>
        </w:tc>
        <w:tc>
          <w:tcPr>
            <w:tcW w:w="975" w:type="dxa"/>
            <w:tcBorders>
              <w:bottom w:val="single" w:sz="4" w:space="0" w:color="000000"/>
              <w:end w:val="single" w:sz="4" w:space="0" w:color="000000"/>
            </w:tcBorders>
          </w:tcPr>
          <w:p>
            <w:pPr>
              <w:pStyle w:val="TableSpacer"/>
              <w:snapToGrid w:val="false"/>
              <w:rPr>
                <w:sz w:val="18"/>
              </w:rPr>
            </w:pPr>
            <w:r>
              <w:rPr>
                <w:sz w:val="18"/>
              </w:rPr>
            </w:r>
          </w:p>
        </w:tc>
      </w:tr>
    </w:tbl>
    <w:p>
      <w:pPr>
        <w:pStyle w:val="BLKmed1st1"/>
        <w:keepNext w:val="true"/>
        <w:keepLines/>
        <w:spacing w:before="220" w:after="220"/>
        <w:rPr/>
      </w:pPr>
      <w:r>
        <w:rPr>
          <w:rStyle w:val="boldund"/>
          <w:b/>
        </w:rPr>
        <w:t>Southern LDCs</w:t>
      </w:r>
      <w:r>
        <w:rPr/>
        <w:t xml:space="preserve"> </w:t>
      </w:r>
    </w:p>
    <w:tbl>
      <w:tblPr>
        <w:tblW w:w="6690" w:type="dxa"/>
        <w:jc w:val="start"/>
        <w:tblInd w:w="0" w:type="dxa"/>
        <w:tblLayout w:type="fixed"/>
        <w:tblCellMar>
          <w:top w:w="0" w:type="dxa"/>
          <w:start w:w="108" w:type="dxa"/>
          <w:bottom w:w="0" w:type="dxa"/>
          <w:end w:w="108" w:type="dxa"/>
        </w:tblCellMar>
      </w:tblPr>
      <w:tblGrid>
        <w:gridCol w:w="1818"/>
        <w:gridCol w:w="1260"/>
        <w:gridCol w:w="1260"/>
        <w:gridCol w:w="403"/>
        <w:gridCol w:w="974"/>
        <w:gridCol w:w="914"/>
        <w:gridCol w:w="61"/>
      </w:tblGrid>
      <w:tr>
        <w:trPr/>
        <w:tc>
          <w:tcPr>
            <w:tcW w:w="1818" w:type="dxa"/>
            <w:tcBorders>
              <w:top w:val="single" w:sz="4" w:space="0" w:color="000000"/>
              <w:start w:val="single" w:sz="4" w:space="0" w:color="000000"/>
              <w:bottom w:val="single" w:sz="4" w:space="0" w:color="000000"/>
            </w:tcBorders>
            <w:shd w:fill="FFFF00" w:val="clear"/>
          </w:tcPr>
          <w:p>
            <w:pPr>
              <w:pStyle w:val="TableHead"/>
              <w:pBdr>
                <w:bottom w:val="nil"/>
              </w:pBdr>
              <w:snapToGrid w:val="false"/>
              <w:rPr>
                <w:sz w:val="18"/>
              </w:rPr>
            </w:pPr>
            <w:r>
              <w:rPr>
                <w:sz w:val="18"/>
              </w:rPr>
            </w:r>
          </w:p>
        </w:tc>
        <w:tc>
          <w:tcPr>
            <w:tcW w:w="1260" w:type="dxa"/>
            <w:tcBorders>
              <w:top w:val="single" w:sz="4" w:space="0" w:color="000000"/>
              <w:bottom w:val="single" w:sz="4" w:space="0" w:color="000000"/>
            </w:tcBorders>
            <w:shd w:fill="FFFF00" w:val="clear"/>
          </w:tcPr>
          <w:p>
            <w:pPr>
              <w:pStyle w:val="TableHead"/>
              <w:pBdr>
                <w:bottom w:val="nil"/>
              </w:pBdr>
              <w:rPr>
                <w:sz w:val="18"/>
              </w:rPr>
            </w:pPr>
            <w:r>
              <w:rPr>
                <w:sz w:val="18"/>
              </w:rPr>
              <w:t>Compagas*</w:t>
            </w:r>
          </w:p>
        </w:tc>
        <w:tc>
          <w:tcPr>
            <w:tcW w:w="1260"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SC Gas</w:t>
            </w:r>
          </w:p>
        </w:tc>
        <w:tc>
          <w:tcPr>
            <w:tcW w:w="403" w:type="dxa"/>
            <w:tcBorders>
              <w:top w:val="single" w:sz="4" w:space="0" w:color="000000"/>
              <w:bottom w:val="single" w:sz="4" w:space="0" w:color="000000"/>
            </w:tcBorders>
            <w:shd w:fill="FFFF00" w:val="clear"/>
          </w:tcPr>
          <w:p>
            <w:pPr>
              <w:pStyle w:val="TableHead"/>
              <w:pBdr>
                <w:bottom w:val="nil"/>
              </w:pBdr>
              <w:snapToGrid w:val="false"/>
              <w:rPr>
                <w:sz w:val="18"/>
              </w:rPr>
            </w:pPr>
            <w:r>
              <w:rPr>
                <w:sz w:val="18"/>
              </w:rPr>
            </w:r>
          </w:p>
        </w:tc>
        <w:tc>
          <w:tcPr>
            <w:tcW w:w="974" w:type="dxa"/>
            <w:tcBorders>
              <w:top w:val="single" w:sz="4" w:space="0" w:color="000000"/>
              <w:bottom w:val="single" w:sz="4" w:space="0" w:color="000000"/>
            </w:tcBorders>
            <w:shd w:fill="FFFF00" w:val="clear"/>
          </w:tcPr>
          <w:p>
            <w:pPr>
              <w:pStyle w:val="TableHead"/>
              <w:pBdr>
                <w:bottom w:val="nil"/>
              </w:pBdr>
              <w:snapToGrid w:val="false"/>
              <w:rPr>
                <w:sz w:val="18"/>
              </w:rPr>
            </w:pPr>
            <w:r>
              <w:rPr>
                <w:sz w:val="18"/>
              </w:rPr>
            </w:r>
          </w:p>
        </w:tc>
        <w:tc>
          <w:tcPr>
            <w:tcW w:w="975" w:type="dxa"/>
            <w:gridSpan w:val="2"/>
            <w:tcBorders>
              <w:top w:val="single" w:sz="4" w:space="0" w:color="000000"/>
              <w:bottom w:val="single" w:sz="4" w:space="0" w:color="000000"/>
              <w:end w:val="single" w:sz="4" w:space="0" w:color="000000"/>
            </w:tcBorders>
            <w:shd w:fill="FFFF00" w:val="clear"/>
          </w:tcPr>
          <w:p>
            <w:pPr>
              <w:pStyle w:val="TableHead"/>
              <w:pBdr>
                <w:bottom w:val="nil"/>
              </w:pBdr>
              <w:snapToGrid w:val="false"/>
              <w:rPr>
                <w:sz w:val="18"/>
              </w:rPr>
            </w:pPr>
            <w:r>
              <w:rPr>
                <w:sz w:val="18"/>
              </w:rPr>
            </w:r>
          </w:p>
        </w:tc>
      </w:tr>
      <w:tr>
        <w:trPr/>
        <w:tc>
          <w:tcPr>
            <w:tcW w:w="1818" w:type="dxa"/>
            <w:tcBorders>
              <w:start w:val="single" w:sz="4" w:space="0" w:color="000000"/>
            </w:tcBorders>
          </w:tcPr>
          <w:p>
            <w:pPr>
              <w:pStyle w:val="TableHeadSpace"/>
              <w:rPr>
                <w:vanish/>
                <w:color w:val="FF00FF"/>
              </w:rPr>
            </w:pPr>
            <w:r>
              <w:rPr>
                <w:vanish/>
                <w:color w:val="FF00FF"/>
              </w:rPr>
              <w:t>Do not delete</w:t>
            </w:r>
          </w:p>
        </w:tc>
        <w:tc>
          <w:tcPr>
            <w:tcW w:w="1260" w:type="dxa"/>
            <w:tcBorders/>
          </w:tcPr>
          <w:p>
            <w:pPr>
              <w:pStyle w:val="TableHeadSpace"/>
              <w:snapToGrid w:val="false"/>
              <w:rPr>
                <w:vanish/>
                <w:color w:val="FF00FF"/>
              </w:rPr>
            </w:pPr>
            <w:r>
              <w:rPr>
                <w:vanish/>
                <w:color w:val="FF00FF"/>
              </w:rPr>
            </w:r>
          </w:p>
        </w:tc>
        <w:tc>
          <w:tcPr>
            <w:tcW w:w="1260" w:type="dxa"/>
            <w:tcBorders/>
          </w:tcPr>
          <w:p>
            <w:pPr>
              <w:pStyle w:val="TableHeadSpace"/>
              <w:snapToGrid w:val="false"/>
              <w:rPr/>
            </w:pPr>
            <w:r>
              <w:rPr/>
            </w:r>
          </w:p>
        </w:tc>
        <w:tc>
          <w:tcPr>
            <w:tcW w:w="403" w:type="dxa"/>
            <w:tcBorders/>
          </w:tcPr>
          <w:p>
            <w:pPr>
              <w:pStyle w:val="TableHeadSpace"/>
              <w:snapToGrid w:val="false"/>
              <w:rPr/>
            </w:pPr>
            <w:r>
              <w:rPr/>
            </w:r>
          </w:p>
        </w:tc>
        <w:tc>
          <w:tcPr>
            <w:tcW w:w="974" w:type="dxa"/>
            <w:tcBorders/>
          </w:tcPr>
          <w:p>
            <w:pPr>
              <w:pStyle w:val="TableHeadSpace"/>
              <w:snapToGrid w:val="false"/>
              <w:rPr/>
            </w:pPr>
            <w:r>
              <w:rPr/>
            </w:r>
          </w:p>
        </w:tc>
        <w:tc>
          <w:tcPr>
            <w:tcW w:w="975" w:type="dxa"/>
            <w:gridSpan w:val="2"/>
            <w:tcBorders>
              <w:end w:val="single" w:sz="4" w:space="0" w:color="000000"/>
            </w:tcBorders>
          </w:tcPr>
          <w:p>
            <w:pPr>
              <w:pStyle w:val="TableHeadSpace"/>
              <w:snapToGrid w:val="false"/>
              <w:rPr>
                <w:caps w:val="false"/>
                <w:smallCaps w:val="false"/>
              </w:rPr>
            </w:pPr>
            <w:r>
              <w:rPr>
                <w:caps w:val="false"/>
                <w:smallCaps w:val="false"/>
              </w:rPr>
            </w:r>
          </w:p>
        </w:tc>
      </w:tr>
      <w:tr>
        <w:trPr/>
        <w:tc>
          <w:tcPr>
            <w:tcW w:w="1818" w:type="dxa"/>
            <w:tcBorders>
              <w:start w:val="single" w:sz="4" w:space="0" w:color="000000"/>
            </w:tcBorders>
          </w:tcPr>
          <w:p>
            <w:pPr>
              <w:pStyle w:val="TableBody"/>
              <w:keepNext w:val="true"/>
              <w:keepLines/>
              <w:rPr>
                <w:sz w:val="18"/>
              </w:rPr>
            </w:pPr>
            <w:r>
              <w:rPr>
                <w:sz w:val="18"/>
              </w:rPr>
              <w:t># of customers**</w:t>
            </w:r>
          </w:p>
        </w:tc>
        <w:tc>
          <w:tcPr>
            <w:tcW w:w="1260" w:type="dxa"/>
            <w:tcBorders/>
          </w:tcPr>
          <w:p>
            <w:pPr>
              <w:pStyle w:val="TableBody"/>
              <w:keepNext w:val="true"/>
              <w:keepLines/>
              <w:jc w:val="center"/>
              <w:rPr>
                <w:sz w:val="18"/>
              </w:rPr>
            </w:pPr>
            <w:r>
              <w:rPr>
                <w:sz w:val="18"/>
              </w:rPr>
              <w:t>40</w:t>
            </w:r>
          </w:p>
        </w:tc>
        <w:tc>
          <w:tcPr>
            <w:tcW w:w="1260" w:type="dxa"/>
            <w:tcBorders/>
          </w:tcPr>
          <w:p>
            <w:pPr>
              <w:pStyle w:val="TableBody"/>
              <w:keepNext w:val="true"/>
              <w:keepLines/>
              <w:jc w:val="center"/>
              <w:rPr>
                <w:sz w:val="18"/>
              </w:rPr>
            </w:pPr>
            <w:r>
              <w:rPr>
                <w:sz w:val="18"/>
              </w:rPr>
              <w:t>68</w:t>
            </w:r>
          </w:p>
        </w:tc>
        <w:tc>
          <w:tcPr>
            <w:tcW w:w="403" w:type="dxa"/>
            <w:tcBorders/>
          </w:tcPr>
          <w:p>
            <w:pPr>
              <w:pStyle w:val="TableBody"/>
              <w:keepNext w:val="true"/>
              <w:keepLines/>
              <w:snapToGrid w:val="false"/>
              <w:jc w:val="center"/>
              <w:rPr>
                <w:sz w:val="18"/>
              </w:rPr>
            </w:pPr>
            <w:r>
              <w:rPr>
                <w:sz w:val="18"/>
              </w:rPr>
            </w:r>
          </w:p>
        </w:tc>
        <w:tc>
          <w:tcPr>
            <w:tcW w:w="974" w:type="dxa"/>
            <w:tcBorders/>
          </w:tcPr>
          <w:p>
            <w:pPr>
              <w:pStyle w:val="TableBody"/>
              <w:keepNext w:val="true"/>
              <w:keepLines/>
              <w:snapToGrid w:val="false"/>
              <w:jc w:val="center"/>
              <w:rPr>
                <w:sz w:val="18"/>
              </w:rPr>
            </w:pPr>
            <w:r>
              <w:rPr>
                <w:sz w:val="18"/>
              </w:rPr>
            </w:r>
          </w:p>
        </w:tc>
        <w:tc>
          <w:tcPr>
            <w:tcW w:w="975" w:type="dxa"/>
            <w:gridSpan w:val="2"/>
            <w:tcBorders>
              <w:end w:val="single" w:sz="4" w:space="0" w:color="000000"/>
            </w:tcBorders>
          </w:tcPr>
          <w:p>
            <w:pPr>
              <w:pStyle w:val="TableBody"/>
              <w:keepNext w:val="true"/>
              <w:keepLines/>
              <w:snapToGrid w:val="false"/>
              <w:jc w:val="center"/>
              <w:rPr>
                <w:sz w:val="18"/>
              </w:rPr>
            </w:pPr>
            <w:r>
              <w:rPr>
                <w:sz w:val="18"/>
              </w:rPr>
            </w:r>
          </w:p>
        </w:tc>
      </w:tr>
      <w:tr>
        <w:trPr/>
        <w:tc>
          <w:tcPr>
            <w:tcW w:w="1818" w:type="dxa"/>
            <w:tcBorders>
              <w:start w:val="single" w:sz="4" w:space="0" w:color="000000"/>
            </w:tcBorders>
          </w:tcPr>
          <w:p>
            <w:pPr>
              <w:pStyle w:val="TableBody"/>
              <w:keepNext w:val="true"/>
              <w:keepLines/>
              <w:rPr/>
            </w:pPr>
            <w:r>
              <w:rPr>
                <w:sz w:val="18"/>
              </w:rPr>
              <w:t>Volume (m</w:t>
            </w:r>
            <w:r>
              <w:rPr>
                <w:sz w:val="18"/>
                <w:vertAlign w:val="superscript"/>
              </w:rPr>
              <w:t>3</w:t>
            </w:r>
            <w:r>
              <w:rPr>
                <w:sz w:val="18"/>
              </w:rPr>
              <w:t>/day)</w:t>
            </w:r>
          </w:p>
        </w:tc>
        <w:tc>
          <w:tcPr>
            <w:tcW w:w="1260" w:type="dxa"/>
            <w:tcBorders/>
          </w:tcPr>
          <w:p>
            <w:pPr>
              <w:pStyle w:val="TableBody"/>
              <w:keepNext w:val="true"/>
              <w:keepLines/>
              <w:jc w:val="center"/>
              <w:rPr>
                <w:sz w:val="18"/>
              </w:rPr>
            </w:pPr>
            <w:r>
              <w:rPr>
                <w:sz w:val="18"/>
              </w:rPr>
              <w:t>485k</w:t>
            </w:r>
          </w:p>
        </w:tc>
        <w:tc>
          <w:tcPr>
            <w:tcW w:w="1260" w:type="dxa"/>
            <w:tcBorders/>
          </w:tcPr>
          <w:p>
            <w:pPr>
              <w:pStyle w:val="TableBody"/>
              <w:keepNext w:val="true"/>
              <w:keepLines/>
              <w:jc w:val="center"/>
              <w:rPr>
                <w:sz w:val="18"/>
              </w:rPr>
            </w:pPr>
            <w:r>
              <w:rPr>
                <w:sz w:val="18"/>
              </w:rPr>
              <w:t>876k</w:t>
            </w:r>
          </w:p>
        </w:tc>
        <w:tc>
          <w:tcPr>
            <w:tcW w:w="403" w:type="dxa"/>
            <w:tcBorders/>
          </w:tcPr>
          <w:p>
            <w:pPr>
              <w:pStyle w:val="TableBody"/>
              <w:keepNext w:val="true"/>
              <w:keepLines/>
              <w:snapToGrid w:val="false"/>
              <w:jc w:val="center"/>
              <w:rPr>
                <w:sz w:val="18"/>
              </w:rPr>
            </w:pPr>
            <w:r>
              <w:rPr>
                <w:sz w:val="18"/>
              </w:rPr>
            </w:r>
          </w:p>
        </w:tc>
        <w:tc>
          <w:tcPr>
            <w:tcW w:w="974" w:type="dxa"/>
            <w:tcBorders/>
          </w:tcPr>
          <w:p>
            <w:pPr>
              <w:pStyle w:val="TableBody"/>
              <w:keepNext w:val="true"/>
              <w:keepLines/>
              <w:snapToGrid w:val="false"/>
              <w:jc w:val="center"/>
              <w:rPr>
                <w:sz w:val="18"/>
              </w:rPr>
            </w:pPr>
            <w:r>
              <w:rPr>
                <w:sz w:val="18"/>
              </w:rPr>
            </w:r>
          </w:p>
        </w:tc>
        <w:tc>
          <w:tcPr>
            <w:tcW w:w="975" w:type="dxa"/>
            <w:gridSpan w:val="2"/>
            <w:tcBorders>
              <w:end w:val="single" w:sz="4" w:space="0" w:color="000000"/>
            </w:tcBorders>
          </w:tcPr>
          <w:p>
            <w:pPr>
              <w:pStyle w:val="TableBody"/>
              <w:keepNext w:val="true"/>
              <w:keepLines/>
              <w:snapToGrid w:val="false"/>
              <w:jc w:val="center"/>
              <w:rPr>
                <w:sz w:val="18"/>
              </w:rPr>
            </w:pPr>
            <w:r>
              <w:rPr>
                <w:sz w:val="18"/>
              </w:rPr>
            </w:r>
          </w:p>
        </w:tc>
      </w:tr>
      <w:tr>
        <w:trPr/>
        <w:tc>
          <w:tcPr>
            <w:tcW w:w="1818" w:type="dxa"/>
            <w:tcBorders>
              <w:start w:val="single" w:sz="4" w:space="0" w:color="000000"/>
            </w:tcBorders>
          </w:tcPr>
          <w:p>
            <w:pPr>
              <w:pStyle w:val="TableSpacer"/>
              <w:keepNext w:val="true"/>
              <w:keepLines/>
              <w:snapToGrid w:val="false"/>
              <w:rPr>
                <w:sz w:val="18"/>
              </w:rPr>
            </w:pPr>
            <w:r>
              <w:rPr>
                <w:sz w:val="18"/>
              </w:rPr>
            </w:r>
          </w:p>
        </w:tc>
        <w:tc>
          <w:tcPr>
            <w:tcW w:w="1260" w:type="dxa"/>
            <w:tcBorders/>
          </w:tcPr>
          <w:p>
            <w:pPr>
              <w:pStyle w:val="TableSpacer"/>
              <w:keepNext w:val="true"/>
              <w:keepLines/>
              <w:snapToGrid w:val="false"/>
              <w:rPr>
                <w:sz w:val="18"/>
              </w:rPr>
            </w:pPr>
            <w:r>
              <w:rPr>
                <w:sz w:val="18"/>
              </w:rPr>
            </w:r>
          </w:p>
        </w:tc>
        <w:tc>
          <w:tcPr>
            <w:tcW w:w="1260" w:type="dxa"/>
            <w:tcBorders/>
          </w:tcPr>
          <w:p>
            <w:pPr>
              <w:pStyle w:val="TableSpacer"/>
              <w:keepNext w:val="true"/>
              <w:keepLines/>
              <w:snapToGrid w:val="false"/>
              <w:rPr>
                <w:sz w:val="18"/>
              </w:rPr>
            </w:pPr>
            <w:r>
              <w:rPr>
                <w:sz w:val="18"/>
              </w:rPr>
            </w:r>
          </w:p>
        </w:tc>
        <w:tc>
          <w:tcPr>
            <w:tcW w:w="403" w:type="dxa"/>
            <w:tcBorders/>
          </w:tcPr>
          <w:p>
            <w:pPr>
              <w:pStyle w:val="TableSpacer"/>
              <w:keepNext w:val="true"/>
              <w:keepLines/>
              <w:snapToGrid w:val="false"/>
              <w:rPr>
                <w:sz w:val="18"/>
              </w:rPr>
            </w:pPr>
            <w:r>
              <w:rPr>
                <w:sz w:val="18"/>
              </w:rPr>
            </w:r>
          </w:p>
        </w:tc>
        <w:tc>
          <w:tcPr>
            <w:tcW w:w="974" w:type="dxa"/>
            <w:tcBorders/>
          </w:tcPr>
          <w:p>
            <w:pPr>
              <w:pStyle w:val="TableSpacer"/>
              <w:keepNext w:val="true"/>
              <w:keepLines/>
              <w:snapToGrid w:val="false"/>
              <w:rPr>
                <w:sz w:val="18"/>
              </w:rPr>
            </w:pPr>
            <w:r>
              <w:rPr>
                <w:sz w:val="18"/>
              </w:rPr>
            </w:r>
          </w:p>
        </w:tc>
        <w:tc>
          <w:tcPr>
            <w:tcW w:w="975" w:type="dxa"/>
            <w:gridSpan w:val="2"/>
            <w:tcBorders>
              <w:end w:val="single" w:sz="4" w:space="0" w:color="000000"/>
            </w:tcBorders>
          </w:tcPr>
          <w:p>
            <w:pPr>
              <w:pStyle w:val="TableSpacer"/>
              <w:keepNext w:val="true"/>
              <w:keepLines/>
              <w:snapToGrid w:val="false"/>
              <w:rPr>
                <w:sz w:val="18"/>
              </w:rPr>
            </w:pPr>
            <w:r>
              <w:rPr>
                <w:sz w:val="18"/>
              </w:rPr>
            </w:r>
          </w:p>
        </w:tc>
      </w:tr>
      <w:tr>
        <w:trPr/>
        <w:tc>
          <w:tcPr>
            <w:tcW w:w="6690" w:type="dxa"/>
            <w:gridSpan w:val="7"/>
            <w:tcBorders>
              <w:start w:val="single" w:sz="4" w:space="0" w:color="000000"/>
              <w:bottom w:val="single" w:sz="4" w:space="0" w:color="000000"/>
              <w:end w:val="single" w:sz="4" w:space="0" w:color="000000"/>
            </w:tcBorders>
          </w:tcPr>
          <w:p>
            <w:pPr>
              <w:pStyle w:val="TableBody"/>
              <w:keepNext w:val="true"/>
              <w:keepLines/>
              <w:snapToGrid w:val="false"/>
              <w:rPr>
                <w:sz w:val="18"/>
              </w:rPr>
            </w:pPr>
            <w:r>
              <w:rPr>
                <w:sz w:val="18"/>
              </w:rPr>
            </w:r>
          </w:p>
        </w:tc>
      </w:tr>
      <w:tr>
        <w:trPr/>
        <w:tc>
          <w:tcPr>
            <w:tcW w:w="6629" w:type="dxa"/>
            <w:gridSpan w:val="6"/>
            <w:tcBorders/>
          </w:tcPr>
          <w:p>
            <w:pPr>
              <w:pStyle w:val="TableBody"/>
              <w:keepNext w:val="true"/>
              <w:keepLines/>
              <w:rPr/>
            </w:pPr>
            <w:r>
              <w:rPr/>
              <w:t>* Currently selling refinery gas to 11 customers</w:t>
            </w:r>
          </w:p>
          <w:p>
            <w:pPr>
              <w:pStyle w:val="TableBody"/>
              <w:keepNext w:val="true"/>
              <w:keepLines/>
              <w:rPr/>
            </w:pPr>
            <w:r>
              <w:rPr/>
              <w:t>** Targeted customers for year 2000</w:t>
            </w:r>
          </w:p>
          <w:p>
            <w:pPr>
              <w:pStyle w:val="TableBody"/>
              <w:keepNext w:val="true"/>
              <w:keepLines/>
              <w:rPr/>
            </w:pPr>
            <w:r>
              <w:rPr/>
              <w:t>Source:  Enron</w:t>
            </w:r>
          </w:p>
        </w:tc>
        <w:tc>
          <w:tcPr>
            <w:tcW w:w="61" w:type="dxa"/>
            <w:tcBorders/>
            <w:tcMar>
              <w:start w:w="0" w:type="dxa"/>
              <w:end w:w="0" w:type="dxa"/>
            </w:tcMar>
          </w:tcPr>
          <w:p>
            <w:pPr>
              <w:pStyle w:val="Normal"/>
              <w:snapToGrid w:val="false"/>
              <w:spacing w:before="0" w:after="220"/>
              <w:rPr/>
            </w:pPr>
            <w:r>
              <w:rPr/>
            </w:r>
          </w:p>
        </w:tc>
      </w:tr>
    </w:tbl>
    <w:p>
      <w:pPr>
        <w:pStyle w:val="BLKmed1st1"/>
        <w:keepLines/>
        <w:rPr/>
      </w:pPr>
      <w:r>
        <w:rPr/>
      </w:r>
    </w:p>
    <w:p>
      <w:pPr>
        <w:pStyle w:val="Heading5"/>
        <w:rPr/>
      </w:pPr>
      <w:r>
        <w:rPr/>
        <w:t>Market Potential</w:t>
      </w:r>
    </w:p>
    <w:p>
      <w:pPr>
        <w:pStyle w:val="Normal"/>
        <w:rPr/>
      </w:pPr>
      <w:r>
        <w:rPr/>
        <w:t>Current Gaspart customers are exclusively industrials; however, studies have been completed to determine the feasibility of the residential and commercial markets in each area and Bahiagas is currently implementing the first residential/commercial network in the city of Salvador. Phase I of the first such program is to capture over 15,000 residential customers and associated commercial volumes.</w:t>
      </w:r>
    </w:p>
    <w:p>
      <w:pPr>
        <w:pStyle w:val="BLKmed1st1"/>
        <w:rPr/>
      </w:pPr>
      <w:r>
        <w:rPr/>
        <w:t>The tables below show the estimated potential demand from residential and commercial customers in [2005]. Further information is provided on the build-up of this customer base in the financial information at the end of this section, as well as the associated capital expenditures. The tables also indicate those LDCs for which approval has been granted to proceed with the expansion program.</w:t>
      </w:r>
    </w:p>
    <w:p>
      <w:pPr>
        <w:pStyle w:val="BLKmed1st1"/>
        <w:rPr/>
      </w:pPr>
      <w:r>
        <w:rPr/>
        <w:t>[CHECK ALL NUMBERS AGAINST PROJECTIONS]</w:t>
      </w:r>
    </w:p>
    <w:p>
      <w:pPr>
        <w:pStyle w:val="BLKmed1st1"/>
        <w:keepNext w:val="true"/>
        <w:keepLines/>
        <w:numPr>
          <w:ilvl w:val="0"/>
          <w:numId w:val="0"/>
        </w:numPr>
        <w:outlineLvl w:val="0"/>
        <w:rPr/>
      </w:pPr>
      <w:r>
        <w:rPr/>
        <w:t>Northern LDCs</w:t>
      </w:r>
    </w:p>
    <w:tbl>
      <w:tblPr>
        <w:tblW w:w="6690" w:type="dxa"/>
        <w:jc w:val="start"/>
        <w:tblInd w:w="0" w:type="dxa"/>
        <w:tblLayout w:type="fixed"/>
        <w:tblCellMar>
          <w:top w:w="0" w:type="dxa"/>
          <w:start w:w="108" w:type="dxa"/>
          <w:bottom w:w="0" w:type="dxa"/>
          <w:end w:w="108" w:type="dxa"/>
        </w:tblCellMar>
      </w:tblPr>
      <w:tblGrid>
        <w:gridCol w:w="1818"/>
        <w:gridCol w:w="974"/>
        <w:gridCol w:w="974"/>
        <w:gridCol w:w="975"/>
        <w:gridCol w:w="974"/>
        <w:gridCol w:w="975"/>
      </w:tblGrid>
      <w:tr>
        <w:trPr/>
        <w:tc>
          <w:tcPr>
            <w:tcW w:w="1818" w:type="dxa"/>
            <w:tcBorders>
              <w:top w:val="single" w:sz="4" w:space="0" w:color="000000"/>
              <w:start w:val="single" w:sz="4" w:space="0" w:color="000000"/>
              <w:bottom w:val="single" w:sz="4" w:space="0" w:color="000000"/>
            </w:tcBorders>
            <w:shd w:fill="FFFF00" w:val="clear"/>
          </w:tcPr>
          <w:p>
            <w:pPr>
              <w:pStyle w:val="TableHead"/>
              <w:pBdr>
                <w:bottom w:val="nil"/>
              </w:pBdr>
              <w:snapToGrid w:val="false"/>
              <w:rPr>
                <w:sz w:val="18"/>
              </w:rPr>
            </w:pPr>
            <w:r>
              <w:rPr>
                <w:sz w:val="18"/>
              </w:rPr>
            </w:r>
          </w:p>
        </w:tc>
        <w:tc>
          <w:tcPr>
            <w:tcW w:w="974" w:type="dxa"/>
            <w:tcBorders>
              <w:top w:val="single" w:sz="4" w:space="0" w:color="000000"/>
              <w:bottom w:val="single" w:sz="4" w:space="0" w:color="000000"/>
            </w:tcBorders>
            <w:shd w:fill="FFFF00" w:val="clear"/>
          </w:tcPr>
          <w:p>
            <w:pPr>
              <w:pStyle w:val="TableHead"/>
              <w:pBdr>
                <w:bottom w:val="nil"/>
              </w:pBdr>
              <w:rPr>
                <w:sz w:val="18"/>
              </w:rPr>
            </w:pPr>
            <w:r>
              <w:rPr>
                <w:sz w:val="18"/>
              </w:rPr>
              <w:t>Bahiagás</w:t>
            </w:r>
          </w:p>
        </w:tc>
        <w:tc>
          <w:tcPr>
            <w:tcW w:w="974" w:type="dxa"/>
            <w:tcBorders>
              <w:top w:val="single" w:sz="4" w:space="0" w:color="000000"/>
              <w:bottom w:val="single" w:sz="4" w:space="0" w:color="000000"/>
            </w:tcBorders>
            <w:shd w:fill="FFFF00" w:val="clear"/>
          </w:tcPr>
          <w:p>
            <w:pPr>
              <w:pStyle w:val="TableHead"/>
              <w:pBdr>
                <w:bottom w:val="nil"/>
              </w:pBdr>
              <w:rPr>
                <w:sz w:val="18"/>
              </w:rPr>
            </w:pPr>
            <w:r>
              <w:rPr>
                <w:sz w:val="18"/>
              </w:rPr>
              <w:t>Emsergás</w:t>
            </w:r>
          </w:p>
        </w:tc>
        <w:tc>
          <w:tcPr>
            <w:tcW w:w="975" w:type="dxa"/>
            <w:tcBorders>
              <w:top w:val="single" w:sz="4" w:space="0" w:color="000000"/>
              <w:bottom w:val="single" w:sz="4" w:space="0" w:color="000000"/>
            </w:tcBorders>
            <w:shd w:fill="FFFF00" w:val="clear"/>
          </w:tcPr>
          <w:p>
            <w:pPr>
              <w:pStyle w:val="TableHead"/>
              <w:pBdr>
                <w:bottom w:val="nil"/>
              </w:pBdr>
              <w:rPr>
                <w:sz w:val="18"/>
              </w:rPr>
            </w:pPr>
            <w:r>
              <w:rPr>
                <w:sz w:val="18"/>
              </w:rPr>
              <w:t>Copergás</w:t>
            </w:r>
          </w:p>
        </w:tc>
        <w:tc>
          <w:tcPr>
            <w:tcW w:w="974" w:type="dxa"/>
            <w:tcBorders>
              <w:top w:val="single" w:sz="4" w:space="0" w:color="000000"/>
              <w:bottom w:val="single" w:sz="4" w:space="0" w:color="000000"/>
            </w:tcBorders>
            <w:shd w:fill="FFFF00" w:val="clear"/>
          </w:tcPr>
          <w:p>
            <w:pPr>
              <w:pStyle w:val="TableHead"/>
              <w:pBdr>
                <w:bottom w:val="nil"/>
              </w:pBdr>
              <w:rPr>
                <w:sz w:val="18"/>
              </w:rPr>
            </w:pPr>
            <w:r>
              <w:rPr>
                <w:sz w:val="18"/>
              </w:rPr>
              <w:t>Algás</w:t>
            </w:r>
          </w:p>
        </w:tc>
        <w:tc>
          <w:tcPr>
            <w:tcW w:w="975" w:type="dxa"/>
            <w:tcBorders>
              <w:top w:val="single" w:sz="4" w:space="0" w:color="000000"/>
              <w:bottom w:val="single" w:sz="4" w:space="0" w:color="000000"/>
              <w:end w:val="single" w:sz="4" w:space="0" w:color="000000"/>
            </w:tcBorders>
            <w:shd w:fill="FFFF00" w:val="clear"/>
          </w:tcPr>
          <w:p>
            <w:pPr>
              <w:pStyle w:val="TableHead"/>
              <w:pBdr>
                <w:bottom w:val="nil"/>
              </w:pBdr>
              <w:rPr>
                <w:sz w:val="18"/>
              </w:rPr>
            </w:pPr>
            <w:r>
              <w:rPr>
                <w:sz w:val="18"/>
              </w:rPr>
              <w:t>PBGás</w:t>
            </w:r>
          </w:p>
        </w:tc>
      </w:tr>
      <w:tr>
        <w:trPr/>
        <w:tc>
          <w:tcPr>
            <w:tcW w:w="1818" w:type="dxa"/>
            <w:tcBorders>
              <w:start w:val="single" w:sz="4" w:space="0" w:color="000000"/>
            </w:tcBorders>
          </w:tcPr>
          <w:p>
            <w:pPr>
              <w:pStyle w:val="TableHeadSpace"/>
              <w:rPr>
                <w:vanish/>
                <w:color w:val="FF00FF"/>
              </w:rPr>
            </w:pPr>
            <w:r>
              <w:rPr>
                <w:vanish/>
                <w:color w:val="FF00FF"/>
              </w:rPr>
              <w:t>Do not delete</w:t>
            </w:r>
          </w:p>
        </w:tc>
        <w:tc>
          <w:tcPr>
            <w:tcW w:w="974" w:type="dxa"/>
            <w:tcBorders/>
          </w:tcPr>
          <w:p>
            <w:pPr>
              <w:pStyle w:val="TableHeadSpace"/>
              <w:snapToGrid w:val="false"/>
              <w:rPr>
                <w:vanish/>
                <w:color w:val="FF00FF"/>
              </w:rPr>
            </w:pPr>
            <w:r>
              <w:rPr>
                <w:vanish/>
                <w:color w:val="FF00FF"/>
              </w:rPr>
            </w:r>
          </w:p>
        </w:tc>
        <w:tc>
          <w:tcPr>
            <w:tcW w:w="974" w:type="dxa"/>
            <w:tcBorders/>
          </w:tcPr>
          <w:p>
            <w:pPr>
              <w:pStyle w:val="TableHeadSpace"/>
              <w:snapToGrid w:val="false"/>
              <w:rPr/>
            </w:pPr>
            <w:r>
              <w:rPr/>
            </w:r>
          </w:p>
        </w:tc>
        <w:tc>
          <w:tcPr>
            <w:tcW w:w="975" w:type="dxa"/>
            <w:tcBorders/>
          </w:tcPr>
          <w:p>
            <w:pPr>
              <w:pStyle w:val="TableHeadSpace"/>
              <w:snapToGrid w:val="false"/>
              <w:rPr/>
            </w:pPr>
            <w:r>
              <w:rPr/>
            </w:r>
          </w:p>
        </w:tc>
        <w:tc>
          <w:tcPr>
            <w:tcW w:w="974" w:type="dxa"/>
            <w:tcBorders/>
          </w:tcPr>
          <w:p>
            <w:pPr>
              <w:pStyle w:val="TableHeadSpace"/>
              <w:snapToGrid w:val="false"/>
              <w:rPr/>
            </w:pPr>
            <w:r>
              <w:rPr/>
            </w:r>
          </w:p>
        </w:tc>
        <w:tc>
          <w:tcPr>
            <w:tcW w:w="975" w:type="dxa"/>
            <w:tcBorders>
              <w:end w:val="single" w:sz="4" w:space="0" w:color="000000"/>
            </w:tcBorders>
          </w:tcPr>
          <w:p>
            <w:pPr>
              <w:pStyle w:val="TableHeadSpace"/>
              <w:snapToGrid w:val="false"/>
              <w:rPr>
                <w:caps w:val="false"/>
                <w:smallCaps w:val="false"/>
              </w:rPr>
            </w:pPr>
            <w:r>
              <w:rPr>
                <w:caps w:val="false"/>
                <w:smallCaps w:val="false"/>
              </w:rPr>
            </w:r>
          </w:p>
        </w:tc>
      </w:tr>
      <w:tr>
        <w:trPr/>
        <w:tc>
          <w:tcPr>
            <w:tcW w:w="1818" w:type="dxa"/>
            <w:tcBorders>
              <w:start w:val="single" w:sz="4" w:space="0" w:color="000000"/>
            </w:tcBorders>
          </w:tcPr>
          <w:p>
            <w:pPr>
              <w:pStyle w:val="TableBody"/>
              <w:keepNext w:val="true"/>
              <w:keepLines/>
              <w:rPr>
                <w:sz w:val="18"/>
              </w:rPr>
            </w:pPr>
            <w:r>
              <w:rPr>
                <w:sz w:val="18"/>
              </w:rPr>
              <w:t>Residential Market</w:t>
            </w:r>
          </w:p>
        </w:tc>
        <w:tc>
          <w:tcPr>
            <w:tcW w:w="974" w:type="dxa"/>
            <w:tcBorders/>
          </w:tcPr>
          <w:p>
            <w:pPr>
              <w:pStyle w:val="TableBody"/>
              <w:keepNext w:val="true"/>
              <w:keepLines/>
              <w:jc w:val="center"/>
              <w:rPr>
                <w:sz w:val="18"/>
              </w:rPr>
            </w:pPr>
            <w:r>
              <w:rPr>
                <w:sz w:val="18"/>
              </w:rPr>
              <w:t>45,000</w:t>
            </w:r>
          </w:p>
        </w:tc>
        <w:tc>
          <w:tcPr>
            <w:tcW w:w="974" w:type="dxa"/>
            <w:tcBorders/>
          </w:tcPr>
          <w:p>
            <w:pPr>
              <w:pStyle w:val="TableBody"/>
              <w:keepNext w:val="true"/>
              <w:keepLines/>
              <w:jc w:val="center"/>
              <w:rPr>
                <w:sz w:val="18"/>
              </w:rPr>
            </w:pPr>
            <w:r>
              <w:rPr>
                <w:sz w:val="18"/>
              </w:rPr>
              <w:t>8,000</w:t>
            </w:r>
          </w:p>
        </w:tc>
        <w:tc>
          <w:tcPr>
            <w:tcW w:w="975" w:type="dxa"/>
            <w:tcBorders/>
          </w:tcPr>
          <w:p>
            <w:pPr>
              <w:pStyle w:val="TableBody"/>
              <w:keepNext w:val="true"/>
              <w:keepLines/>
              <w:jc w:val="center"/>
              <w:rPr>
                <w:sz w:val="18"/>
              </w:rPr>
            </w:pPr>
            <w:r>
              <w:rPr>
                <w:sz w:val="18"/>
              </w:rPr>
              <w:t>25,000</w:t>
            </w:r>
          </w:p>
        </w:tc>
        <w:tc>
          <w:tcPr>
            <w:tcW w:w="974" w:type="dxa"/>
            <w:tcBorders/>
          </w:tcPr>
          <w:p>
            <w:pPr>
              <w:pStyle w:val="TableBody"/>
              <w:keepNext w:val="true"/>
              <w:keepLines/>
              <w:jc w:val="center"/>
              <w:rPr>
                <w:sz w:val="18"/>
              </w:rPr>
            </w:pPr>
            <w:r>
              <w:rPr>
                <w:sz w:val="18"/>
              </w:rPr>
              <w:t>15,000</w:t>
            </w:r>
          </w:p>
        </w:tc>
        <w:tc>
          <w:tcPr>
            <w:tcW w:w="975" w:type="dxa"/>
            <w:tcBorders>
              <w:end w:val="single" w:sz="4" w:space="0" w:color="000000"/>
            </w:tcBorders>
          </w:tcPr>
          <w:p>
            <w:pPr>
              <w:pStyle w:val="TableBody"/>
              <w:keepNext w:val="true"/>
              <w:keepLines/>
              <w:jc w:val="center"/>
              <w:rPr>
                <w:sz w:val="18"/>
              </w:rPr>
            </w:pPr>
            <w:r>
              <w:rPr>
                <w:sz w:val="18"/>
              </w:rPr>
              <w:t>8,000</w:t>
            </w:r>
          </w:p>
        </w:tc>
      </w:tr>
      <w:tr>
        <w:trPr/>
        <w:tc>
          <w:tcPr>
            <w:tcW w:w="1818" w:type="dxa"/>
            <w:tcBorders>
              <w:start w:val="single" w:sz="4" w:space="0" w:color="000000"/>
            </w:tcBorders>
          </w:tcPr>
          <w:p>
            <w:pPr>
              <w:pStyle w:val="TableBody"/>
              <w:keepNext w:val="true"/>
              <w:keepLines/>
              <w:rPr>
                <w:sz w:val="18"/>
              </w:rPr>
            </w:pPr>
            <w:r>
              <w:rPr>
                <w:sz w:val="18"/>
              </w:rPr>
              <w:t>Volume/customer/day</w:t>
            </w:r>
          </w:p>
        </w:tc>
        <w:tc>
          <w:tcPr>
            <w:tcW w:w="974" w:type="dxa"/>
            <w:tcBorders/>
          </w:tcPr>
          <w:p>
            <w:pPr>
              <w:pStyle w:val="TableBody"/>
              <w:keepNext w:val="true"/>
              <w:keepLines/>
              <w:jc w:val="center"/>
              <w:rPr/>
            </w:pPr>
            <w:r>
              <w:rPr>
                <w:sz w:val="18"/>
              </w:rPr>
              <w:t>0.5m</w:t>
            </w:r>
            <w:r>
              <w:rPr>
                <w:sz w:val="18"/>
                <w:vertAlign w:val="superscript"/>
              </w:rPr>
              <w:t>3</w:t>
            </w:r>
          </w:p>
        </w:tc>
        <w:tc>
          <w:tcPr>
            <w:tcW w:w="974" w:type="dxa"/>
            <w:tcBorders/>
          </w:tcPr>
          <w:p>
            <w:pPr>
              <w:pStyle w:val="TableBody"/>
              <w:keepNext w:val="true"/>
              <w:keepLines/>
              <w:jc w:val="center"/>
              <w:rPr>
                <w:sz w:val="18"/>
              </w:rPr>
            </w:pPr>
            <w:r>
              <w:rPr>
                <w:sz w:val="18"/>
              </w:rPr>
              <w:t>0.5</w:t>
            </w:r>
          </w:p>
        </w:tc>
        <w:tc>
          <w:tcPr>
            <w:tcW w:w="975" w:type="dxa"/>
            <w:tcBorders/>
          </w:tcPr>
          <w:p>
            <w:pPr>
              <w:pStyle w:val="TableBody"/>
              <w:keepNext w:val="true"/>
              <w:keepLines/>
              <w:jc w:val="center"/>
              <w:rPr>
                <w:sz w:val="18"/>
              </w:rPr>
            </w:pPr>
            <w:r>
              <w:rPr>
                <w:sz w:val="18"/>
              </w:rPr>
              <w:t>0.5</w:t>
            </w:r>
          </w:p>
        </w:tc>
        <w:tc>
          <w:tcPr>
            <w:tcW w:w="974" w:type="dxa"/>
            <w:tcBorders/>
          </w:tcPr>
          <w:p>
            <w:pPr>
              <w:pStyle w:val="TableBody"/>
              <w:keepNext w:val="true"/>
              <w:keepLines/>
              <w:jc w:val="center"/>
              <w:rPr>
                <w:sz w:val="18"/>
              </w:rPr>
            </w:pPr>
            <w:r>
              <w:rPr>
                <w:sz w:val="18"/>
              </w:rPr>
              <w:t>0.5</w:t>
            </w:r>
          </w:p>
        </w:tc>
        <w:tc>
          <w:tcPr>
            <w:tcW w:w="975" w:type="dxa"/>
            <w:tcBorders>
              <w:end w:val="single" w:sz="4" w:space="0" w:color="000000"/>
            </w:tcBorders>
          </w:tcPr>
          <w:p>
            <w:pPr>
              <w:pStyle w:val="TableBody"/>
              <w:keepNext w:val="true"/>
              <w:keepLines/>
              <w:jc w:val="center"/>
              <w:rPr>
                <w:sz w:val="18"/>
              </w:rPr>
            </w:pPr>
            <w:r>
              <w:rPr>
                <w:sz w:val="18"/>
              </w:rPr>
              <w:t>0.5</w:t>
            </w:r>
          </w:p>
        </w:tc>
      </w:tr>
      <w:tr>
        <w:trPr/>
        <w:tc>
          <w:tcPr>
            <w:tcW w:w="1818" w:type="dxa"/>
            <w:tcBorders>
              <w:start w:val="single" w:sz="4" w:space="0" w:color="000000"/>
            </w:tcBorders>
          </w:tcPr>
          <w:p>
            <w:pPr>
              <w:pStyle w:val="TableBody"/>
              <w:keepNext w:val="true"/>
              <w:keepLines/>
              <w:ind w:start="180" w:end="0"/>
              <w:rPr>
                <w:sz w:val="18"/>
              </w:rPr>
            </w:pPr>
            <w:r>
              <w:rPr>
                <w:sz w:val="18"/>
              </w:rPr>
              <w:t>Total volume</w:t>
            </w:r>
          </w:p>
        </w:tc>
        <w:tc>
          <w:tcPr>
            <w:tcW w:w="974" w:type="dxa"/>
            <w:tcBorders/>
          </w:tcPr>
          <w:p>
            <w:pPr>
              <w:pStyle w:val="TableBody"/>
              <w:keepNext w:val="true"/>
              <w:keepLines/>
              <w:jc w:val="center"/>
              <w:rPr>
                <w:sz w:val="18"/>
                <w:vertAlign w:val="superscript"/>
              </w:rPr>
            </w:pPr>
            <w:r>
              <w:rPr>
                <w:sz w:val="18"/>
              </w:rPr>
              <w:t>22.5M m</w:t>
            </w:r>
            <w:r>
              <w:rPr>
                <w:sz w:val="18"/>
                <w:vertAlign w:val="superscript"/>
              </w:rPr>
              <w:t>3</w:t>
            </w:r>
            <w:r>
              <w:rPr>
                <w:sz w:val="18"/>
              </w:rPr>
              <w:t>/day</w:t>
            </w:r>
          </w:p>
        </w:tc>
        <w:tc>
          <w:tcPr>
            <w:tcW w:w="974" w:type="dxa"/>
            <w:tcBorders/>
          </w:tcPr>
          <w:p>
            <w:pPr>
              <w:pStyle w:val="TableBody"/>
              <w:keepNext w:val="true"/>
              <w:keepLines/>
              <w:jc w:val="center"/>
              <w:rPr/>
            </w:pPr>
            <w:r>
              <w:rPr>
                <w:sz w:val="18"/>
              </w:rPr>
              <w:t>4.0M m</w:t>
            </w:r>
            <w:r>
              <w:rPr>
                <w:sz w:val="18"/>
                <w:vertAlign w:val="superscript"/>
              </w:rPr>
              <w:t>3</w:t>
            </w:r>
            <w:r>
              <w:rPr>
                <w:sz w:val="18"/>
              </w:rPr>
              <w:t>/day</w:t>
            </w:r>
          </w:p>
        </w:tc>
        <w:tc>
          <w:tcPr>
            <w:tcW w:w="975" w:type="dxa"/>
            <w:tcBorders/>
          </w:tcPr>
          <w:p>
            <w:pPr>
              <w:pStyle w:val="TableBody"/>
              <w:keepNext w:val="true"/>
              <w:keepLines/>
              <w:jc w:val="center"/>
              <w:rPr/>
            </w:pPr>
            <w:r>
              <w:rPr>
                <w:sz w:val="18"/>
              </w:rPr>
              <w:t>12.5M m</w:t>
            </w:r>
            <w:r>
              <w:rPr>
                <w:sz w:val="18"/>
                <w:vertAlign w:val="superscript"/>
              </w:rPr>
              <w:t>3</w:t>
            </w:r>
            <w:r>
              <w:rPr>
                <w:sz w:val="18"/>
              </w:rPr>
              <w:t>/day</w:t>
            </w:r>
          </w:p>
        </w:tc>
        <w:tc>
          <w:tcPr>
            <w:tcW w:w="974" w:type="dxa"/>
            <w:tcBorders/>
          </w:tcPr>
          <w:p>
            <w:pPr>
              <w:pStyle w:val="TableBody"/>
              <w:keepNext w:val="true"/>
              <w:keepLines/>
              <w:jc w:val="center"/>
              <w:rPr/>
            </w:pPr>
            <w:r>
              <w:rPr>
                <w:sz w:val="18"/>
              </w:rPr>
              <w:t>7.5M m</w:t>
            </w:r>
            <w:r>
              <w:rPr>
                <w:sz w:val="18"/>
                <w:vertAlign w:val="superscript"/>
              </w:rPr>
              <w:t>3</w:t>
            </w:r>
            <w:r>
              <w:rPr>
                <w:sz w:val="18"/>
              </w:rPr>
              <w:t>/day</w:t>
            </w:r>
          </w:p>
        </w:tc>
        <w:tc>
          <w:tcPr>
            <w:tcW w:w="975" w:type="dxa"/>
            <w:tcBorders>
              <w:end w:val="single" w:sz="4" w:space="0" w:color="000000"/>
            </w:tcBorders>
          </w:tcPr>
          <w:p>
            <w:pPr>
              <w:pStyle w:val="TableBody"/>
              <w:keepNext w:val="true"/>
              <w:keepLines/>
              <w:jc w:val="center"/>
              <w:rPr/>
            </w:pPr>
            <w:r>
              <w:rPr>
                <w:sz w:val="18"/>
              </w:rPr>
              <w:t>4.0M m</w:t>
            </w:r>
            <w:r>
              <w:rPr>
                <w:sz w:val="18"/>
                <w:vertAlign w:val="superscript"/>
              </w:rPr>
              <w:t>3</w:t>
            </w:r>
            <w:r>
              <w:rPr>
                <w:sz w:val="18"/>
              </w:rPr>
              <w:t>/day</w:t>
            </w:r>
          </w:p>
        </w:tc>
      </w:tr>
      <w:tr>
        <w:trPr/>
        <w:tc>
          <w:tcPr>
            <w:tcW w:w="1818" w:type="dxa"/>
            <w:tcBorders>
              <w:start w:val="single" w:sz="4" w:space="0" w:color="000000"/>
            </w:tcBorders>
          </w:tcPr>
          <w:p>
            <w:pPr>
              <w:pStyle w:val="TableBody"/>
              <w:keepNext w:val="true"/>
              <w:keepLines/>
              <w:snapToGrid w:val="false"/>
              <w:rPr>
                <w:sz w:val="18"/>
              </w:rPr>
            </w:pPr>
            <w:r>
              <w:rPr>
                <w:sz w:val="18"/>
              </w:rPr>
            </w:r>
          </w:p>
        </w:tc>
        <w:tc>
          <w:tcPr>
            <w:tcW w:w="974" w:type="dxa"/>
            <w:tcBorders/>
          </w:tcPr>
          <w:p>
            <w:pPr>
              <w:pStyle w:val="TableBody"/>
              <w:keepNext w:val="true"/>
              <w:keepLines/>
              <w:snapToGrid w:val="false"/>
              <w:jc w:val="center"/>
              <w:rPr>
                <w:sz w:val="18"/>
              </w:rPr>
            </w:pPr>
            <w:r>
              <w:rPr>
                <w:sz w:val="18"/>
              </w:rPr>
            </w:r>
          </w:p>
        </w:tc>
        <w:tc>
          <w:tcPr>
            <w:tcW w:w="974" w:type="dxa"/>
            <w:tcBorders/>
          </w:tcPr>
          <w:p>
            <w:pPr>
              <w:pStyle w:val="TableBody"/>
              <w:keepNext w:val="true"/>
              <w:keepLines/>
              <w:snapToGrid w:val="false"/>
              <w:jc w:val="center"/>
              <w:rPr>
                <w:sz w:val="18"/>
              </w:rPr>
            </w:pPr>
            <w:r>
              <w:rPr>
                <w:sz w:val="18"/>
              </w:rPr>
            </w:r>
          </w:p>
        </w:tc>
        <w:tc>
          <w:tcPr>
            <w:tcW w:w="975" w:type="dxa"/>
            <w:tcBorders/>
          </w:tcPr>
          <w:p>
            <w:pPr>
              <w:pStyle w:val="TableBody"/>
              <w:keepNext w:val="true"/>
              <w:keepLines/>
              <w:snapToGrid w:val="false"/>
              <w:jc w:val="center"/>
              <w:rPr>
                <w:sz w:val="18"/>
              </w:rPr>
            </w:pPr>
            <w:r>
              <w:rPr>
                <w:sz w:val="18"/>
              </w:rPr>
            </w:r>
          </w:p>
        </w:tc>
        <w:tc>
          <w:tcPr>
            <w:tcW w:w="974" w:type="dxa"/>
            <w:tcBorders/>
          </w:tcPr>
          <w:p>
            <w:pPr>
              <w:pStyle w:val="TableBody"/>
              <w:keepNext w:val="true"/>
              <w:keepLines/>
              <w:snapToGrid w:val="false"/>
              <w:jc w:val="center"/>
              <w:rPr>
                <w:sz w:val="18"/>
              </w:rPr>
            </w:pPr>
            <w:r>
              <w:rPr>
                <w:sz w:val="18"/>
              </w:rPr>
            </w:r>
          </w:p>
        </w:tc>
        <w:tc>
          <w:tcPr>
            <w:tcW w:w="975" w:type="dxa"/>
            <w:tcBorders>
              <w:end w:val="single" w:sz="4" w:space="0" w:color="000000"/>
            </w:tcBorders>
          </w:tcPr>
          <w:p>
            <w:pPr>
              <w:pStyle w:val="TableBody"/>
              <w:keepNext w:val="true"/>
              <w:keepLines/>
              <w:snapToGrid w:val="false"/>
              <w:jc w:val="center"/>
              <w:rPr>
                <w:sz w:val="18"/>
              </w:rPr>
            </w:pPr>
            <w:r>
              <w:rPr>
                <w:sz w:val="18"/>
              </w:rPr>
            </w:r>
          </w:p>
        </w:tc>
      </w:tr>
      <w:tr>
        <w:trPr/>
        <w:tc>
          <w:tcPr>
            <w:tcW w:w="1818" w:type="dxa"/>
            <w:tcBorders>
              <w:start w:val="single" w:sz="4" w:space="0" w:color="000000"/>
            </w:tcBorders>
          </w:tcPr>
          <w:p>
            <w:pPr>
              <w:pStyle w:val="TableBody"/>
              <w:keepNext w:val="true"/>
              <w:keepLines/>
              <w:rPr>
                <w:sz w:val="18"/>
              </w:rPr>
            </w:pPr>
            <w:r>
              <w:rPr>
                <w:sz w:val="18"/>
              </w:rPr>
              <w:t>Commercial Volume</w:t>
            </w:r>
          </w:p>
        </w:tc>
        <w:tc>
          <w:tcPr>
            <w:tcW w:w="974" w:type="dxa"/>
            <w:tcBorders/>
          </w:tcPr>
          <w:p>
            <w:pPr>
              <w:pStyle w:val="TableBody"/>
              <w:keepNext w:val="true"/>
              <w:keepLines/>
              <w:jc w:val="center"/>
              <w:rPr/>
            </w:pPr>
            <w:r>
              <w:rPr>
                <w:sz w:val="18"/>
              </w:rPr>
              <w:t>13.5M m</w:t>
            </w:r>
            <w:r>
              <w:rPr>
                <w:sz w:val="18"/>
                <w:vertAlign w:val="superscript"/>
              </w:rPr>
              <w:t>3</w:t>
            </w:r>
            <w:r>
              <w:rPr>
                <w:sz w:val="18"/>
              </w:rPr>
              <w:t>/day</w:t>
            </w:r>
          </w:p>
        </w:tc>
        <w:tc>
          <w:tcPr>
            <w:tcW w:w="974" w:type="dxa"/>
            <w:tcBorders/>
          </w:tcPr>
          <w:p>
            <w:pPr>
              <w:pStyle w:val="TableBody"/>
              <w:keepNext w:val="true"/>
              <w:keepLines/>
              <w:jc w:val="center"/>
              <w:rPr/>
            </w:pPr>
            <w:r>
              <w:rPr>
                <w:sz w:val="18"/>
              </w:rPr>
              <w:t>2.4M m</w:t>
            </w:r>
            <w:r>
              <w:rPr>
                <w:sz w:val="18"/>
                <w:vertAlign w:val="superscript"/>
              </w:rPr>
              <w:t>3</w:t>
            </w:r>
            <w:r>
              <w:rPr>
                <w:sz w:val="18"/>
              </w:rPr>
              <w:t>/day</w:t>
            </w:r>
          </w:p>
        </w:tc>
        <w:tc>
          <w:tcPr>
            <w:tcW w:w="975" w:type="dxa"/>
            <w:tcBorders/>
          </w:tcPr>
          <w:p>
            <w:pPr>
              <w:pStyle w:val="TableBody"/>
              <w:keepNext w:val="true"/>
              <w:keepLines/>
              <w:jc w:val="center"/>
              <w:rPr/>
            </w:pPr>
            <w:r>
              <w:rPr>
                <w:sz w:val="18"/>
              </w:rPr>
              <w:t>7.5M m</w:t>
            </w:r>
            <w:r>
              <w:rPr>
                <w:sz w:val="18"/>
                <w:vertAlign w:val="superscript"/>
              </w:rPr>
              <w:t>3</w:t>
            </w:r>
            <w:r>
              <w:rPr>
                <w:sz w:val="18"/>
              </w:rPr>
              <w:t>/day</w:t>
            </w:r>
          </w:p>
        </w:tc>
        <w:tc>
          <w:tcPr>
            <w:tcW w:w="974" w:type="dxa"/>
            <w:tcBorders/>
          </w:tcPr>
          <w:p>
            <w:pPr>
              <w:pStyle w:val="TableBody"/>
              <w:keepNext w:val="true"/>
              <w:keepLines/>
              <w:jc w:val="center"/>
              <w:rPr/>
            </w:pPr>
            <w:r>
              <w:rPr>
                <w:sz w:val="18"/>
              </w:rPr>
              <w:t>45M m</w:t>
            </w:r>
            <w:r>
              <w:rPr>
                <w:sz w:val="18"/>
                <w:vertAlign w:val="superscript"/>
              </w:rPr>
              <w:t>3</w:t>
            </w:r>
            <w:r>
              <w:rPr>
                <w:sz w:val="18"/>
              </w:rPr>
              <w:t>/day</w:t>
            </w:r>
          </w:p>
        </w:tc>
        <w:tc>
          <w:tcPr>
            <w:tcW w:w="975" w:type="dxa"/>
            <w:tcBorders>
              <w:end w:val="single" w:sz="4" w:space="0" w:color="000000"/>
            </w:tcBorders>
          </w:tcPr>
          <w:p>
            <w:pPr>
              <w:pStyle w:val="TableBody"/>
              <w:keepNext w:val="true"/>
              <w:keepLines/>
              <w:jc w:val="center"/>
              <w:rPr/>
            </w:pPr>
            <w:r>
              <w:rPr>
                <w:sz w:val="18"/>
              </w:rPr>
              <w:t>2.4M m</w:t>
            </w:r>
            <w:r>
              <w:rPr>
                <w:sz w:val="18"/>
                <w:vertAlign w:val="superscript"/>
              </w:rPr>
              <w:t>3</w:t>
            </w:r>
            <w:r>
              <w:rPr>
                <w:sz w:val="18"/>
              </w:rPr>
              <w:t>/day</w:t>
            </w:r>
          </w:p>
        </w:tc>
      </w:tr>
      <w:tr>
        <w:trPr/>
        <w:tc>
          <w:tcPr>
            <w:tcW w:w="1818" w:type="dxa"/>
            <w:tcBorders>
              <w:start w:val="single" w:sz="4" w:space="0" w:color="000000"/>
            </w:tcBorders>
          </w:tcPr>
          <w:p>
            <w:pPr>
              <w:pStyle w:val="TableBody"/>
              <w:keepNext w:val="true"/>
              <w:keepLines/>
              <w:ind w:start="180" w:end="0"/>
              <w:rPr>
                <w:sz w:val="18"/>
              </w:rPr>
            </w:pPr>
            <w:r>
              <w:rPr>
                <w:sz w:val="18"/>
              </w:rPr>
              <w:t>Approval Status</w:t>
            </w:r>
          </w:p>
        </w:tc>
        <w:tc>
          <w:tcPr>
            <w:tcW w:w="974" w:type="dxa"/>
            <w:tcBorders/>
          </w:tcPr>
          <w:p>
            <w:pPr>
              <w:pStyle w:val="TableBody"/>
              <w:keepNext w:val="true"/>
              <w:keepLines/>
              <w:jc w:val="center"/>
              <w:rPr>
                <w:sz w:val="18"/>
              </w:rPr>
            </w:pPr>
            <w:r>
              <w:rPr>
                <w:sz w:val="18"/>
              </w:rPr>
              <w:t>Yes</w:t>
            </w:r>
          </w:p>
        </w:tc>
        <w:tc>
          <w:tcPr>
            <w:tcW w:w="974" w:type="dxa"/>
            <w:tcBorders/>
          </w:tcPr>
          <w:p>
            <w:pPr>
              <w:pStyle w:val="TableBody"/>
              <w:keepNext w:val="true"/>
              <w:keepLines/>
              <w:jc w:val="center"/>
              <w:rPr>
                <w:sz w:val="18"/>
              </w:rPr>
            </w:pPr>
            <w:r>
              <w:rPr>
                <w:sz w:val="18"/>
              </w:rPr>
              <w:t>No</w:t>
            </w:r>
          </w:p>
        </w:tc>
        <w:tc>
          <w:tcPr>
            <w:tcW w:w="975" w:type="dxa"/>
            <w:tcBorders/>
          </w:tcPr>
          <w:p>
            <w:pPr>
              <w:pStyle w:val="TableBody"/>
              <w:keepNext w:val="true"/>
              <w:keepLines/>
              <w:jc w:val="center"/>
              <w:rPr>
                <w:sz w:val="18"/>
              </w:rPr>
            </w:pPr>
            <w:r>
              <w:rPr>
                <w:sz w:val="18"/>
              </w:rPr>
              <w:t>Yes</w:t>
            </w:r>
          </w:p>
        </w:tc>
        <w:tc>
          <w:tcPr>
            <w:tcW w:w="974" w:type="dxa"/>
            <w:tcBorders/>
          </w:tcPr>
          <w:p>
            <w:pPr>
              <w:pStyle w:val="TableBody"/>
              <w:keepNext w:val="true"/>
              <w:keepLines/>
              <w:jc w:val="center"/>
              <w:rPr>
                <w:sz w:val="18"/>
              </w:rPr>
            </w:pPr>
            <w:r>
              <w:rPr>
                <w:sz w:val="18"/>
              </w:rPr>
              <w:t>No</w:t>
            </w:r>
          </w:p>
        </w:tc>
        <w:tc>
          <w:tcPr>
            <w:tcW w:w="975" w:type="dxa"/>
            <w:tcBorders>
              <w:end w:val="single" w:sz="4" w:space="0" w:color="000000"/>
            </w:tcBorders>
          </w:tcPr>
          <w:p>
            <w:pPr>
              <w:pStyle w:val="TableBody"/>
              <w:keepNext w:val="true"/>
              <w:keepLines/>
              <w:jc w:val="center"/>
              <w:rPr>
                <w:sz w:val="18"/>
              </w:rPr>
            </w:pPr>
            <w:r>
              <w:rPr>
                <w:sz w:val="18"/>
              </w:rPr>
              <w:t>No</w:t>
            </w:r>
          </w:p>
        </w:tc>
      </w:tr>
      <w:tr>
        <w:trPr/>
        <w:tc>
          <w:tcPr>
            <w:tcW w:w="1818" w:type="dxa"/>
            <w:tcBorders>
              <w:start w:val="single" w:sz="4" w:space="0" w:color="000000"/>
            </w:tcBorders>
          </w:tcPr>
          <w:p>
            <w:pPr>
              <w:pStyle w:val="TableBody"/>
              <w:keepNext w:val="true"/>
              <w:keepLines/>
              <w:ind w:start="180" w:end="0"/>
              <w:rPr>
                <w:sz w:val="18"/>
              </w:rPr>
            </w:pPr>
            <w:r>
              <w:rPr>
                <w:sz w:val="18"/>
              </w:rPr>
              <w:t>Market Study</w:t>
            </w:r>
          </w:p>
        </w:tc>
        <w:tc>
          <w:tcPr>
            <w:tcW w:w="974" w:type="dxa"/>
            <w:tcBorders/>
          </w:tcPr>
          <w:p>
            <w:pPr>
              <w:pStyle w:val="TableBody"/>
              <w:keepNext w:val="true"/>
              <w:keepLines/>
              <w:jc w:val="center"/>
              <w:rPr>
                <w:sz w:val="18"/>
              </w:rPr>
            </w:pPr>
            <w:r>
              <w:rPr>
                <w:sz w:val="18"/>
              </w:rPr>
              <w:t>Yes</w:t>
            </w:r>
          </w:p>
        </w:tc>
        <w:tc>
          <w:tcPr>
            <w:tcW w:w="974" w:type="dxa"/>
            <w:tcBorders/>
          </w:tcPr>
          <w:p>
            <w:pPr>
              <w:pStyle w:val="TableBody"/>
              <w:keepNext w:val="true"/>
              <w:keepLines/>
              <w:jc w:val="center"/>
              <w:rPr>
                <w:sz w:val="18"/>
              </w:rPr>
            </w:pPr>
            <w:r>
              <w:rPr>
                <w:sz w:val="18"/>
              </w:rPr>
              <w:t>Yes</w:t>
            </w:r>
          </w:p>
        </w:tc>
        <w:tc>
          <w:tcPr>
            <w:tcW w:w="975" w:type="dxa"/>
            <w:tcBorders/>
          </w:tcPr>
          <w:p>
            <w:pPr>
              <w:pStyle w:val="TableBody"/>
              <w:keepNext w:val="true"/>
              <w:keepLines/>
              <w:jc w:val="center"/>
              <w:rPr>
                <w:sz w:val="18"/>
              </w:rPr>
            </w:pPr>
            <w:r>
              <w:rPr>
                <w:sz w:val="18"/>
              </w:rPr>
              <w:t>Yes</w:t>
            </w:r>
          </w:p>
        </w:tc>
        <w:tc>
          <w:tcPr>
            <w:tcW w:w="974" w:type="dxa"/>
            <w:tcBorders/>
          </w:tcPr>
          <w:p>
            <w:pPr>
              <w:pStyle w:val="TableBody"/>
              <w:keepNext w:val="true"/>
              <w:keepLines/>
              <w:jc w:val="center"/>
              <w:rPr>
                <w:sz w:val="18"/>
              </w:rPr>
            </w:pPr>
            <w:r>
              <w:rPr>
                <w:sz w:val="18"/>
              </w:rPr>
              <w:t>Yes</w:t>
            </w:r>
          </w:p>
        </w:tc>
        <w:tc>
          <w:tcPr>
            <w:tcW w:w="975" w:type="dxa"/>
            <w:tcBorders>
              <w:end w:val="single" w:sz="4" w:space="0" w:color="000000"/>
            </w:tcBorders>
          </w:tcPr>
          <w:p>
            <w:pPr>
              <w:pStyle w:val="TableBody"/>
              <w:keepNext w:val="true"/>
              <w:keepLines/>
              <w:jc w:val="center"/>
              <w:rPr>
                <w:sz w:val="18"/>
              </w:rPr>
            </w:pPr>
            <w:r>
              <w:rPr>
                <w:sz w:val="18"/>
              </w:rPr>
              <w:t>Yes</w:t>
            </w:r>
          </w:p>
        </w:tc>
      </w:tr>
      <w:tr>
        <w:trPr/>
        <w:tc>
          <w:tcPr>
            <w:tcW w:w="1818" w:type="dxa"/>
            <w:tcBorders>
              <w:start w:val="single" w:sz="4" w:space="0" w:color="000000"/>
            </w:tcBorders>
          </w:tcPr>
          <w:p>
            <w:pPr>
              <w:pStyle w:val="TableSpacer"/>
              <w:keepNext w:val="true"/>
              <w:keepLines/>
              <w:snapToGrid w:val="false"/>
              <w:rPr>
                <w:sz w:val="18"/>
              </w:rPr>
            </w:pPr>
            <w:r>
              <w:rPr>
                <w:sz w:val="18"/>
              </w:rPr>
            </w:r>
          </w:p>
        </w:tc>
        <w:tc>
          <w:tcPr>
            <w:tcW w:w="974" w:type="dxa"/>
            <w:tcBorders/>
          </w:tcPr>
          <w:p>
            <w:pPr>
              <w:pStyle w:val="TableSpacer"/>
              <w:keepNext w:val="true"/>
              <w:keepLines/>
              <w:snapToGrid w:val="false"/>
              <w:rPr>
                <w:sz w:val="18"/>
              </w:rPr>
            </w:pPr>
            <w:r>
              <w:rPr>
                <w:sz w:val="18"/>
              </w:rPr>
            </w:r>
          </w:p>
        </w:tc>
        <w:tc>
          <w:tcPr>
            <w:tcW w:w="974" w:type="dxa"/>
            <w:tcBorders/>
          </w:tcPr>
          <w:p>
            <w:pPr>
              <w:pStyle w:val="TableSpacer"/>
              <w:keepNext w:val="true"/>
              <w:keepLines/>
              <w:snapToGrid w:val="false"/>
              <w:rPr>
                <w:sz w:val="18"/>
              </w:rPr>
            </w:pPr>
            <w:r>
              <w:rPr>
                <w:sz w:val="18"/>
              </w:rPr>
            </w:r>
          </w:p>
        </w:tc>
        <w:tc>
          <w:tcPr>
            <w:tcW w:w="975" w:type="dxa"/>
            <w:tcBorders/>
          </w:tcPr>
          <w:p>
            <w:pPr>
              <w:pStyle w:val="TableSpacer"/>
              <w:keepNext w:val="true"/>
              <w:keepLines/>
              <w:snapToGrid w:val="false"/>
              <w:rPr>
                <w:sz w:val="18"/>
              </w:rPr>
            </w:pPr>
            <w:r>
              <w:rPr>
                <w:sz w:val="18"/>
              </w:rPr>
            </w:r>
          </w:p>
        </w:tc>
        <w:tc>
          <w:tcPr>
            <w:tcW w:w="974" w:type="dxa"/>
            <w:tcBorders/>
          </w:tcPr>
          <w:p>
            <w:pPr>
              <w:pStyle w:val="TableSpacer"/>
              <w:keepNext w:val="true"/>
              <w:keepLines/>
              <w:snapToGrid w:val="false"/>
              <w:rPr>
                <w:sz w:val="18"/>
              </w:rPr>
            </w:pPr>
            <w:r>
              <w:rPr>
                <w:sz w:val="18"/>
              </w:rPr>
            </w:r>
          </w:p>
        </w:tc>
        <w:tc>
          <w:tcPr>
            <w:tcW w:w="975" w:type="dxa"/>
            <w:tcBorders>
              <w:end w:val="single" w:sz="4" w:space="0" w:color="000000"/>
            </w:tcBorders>
          </w:tcPr>
          <w:p>
            <w:pPr>
              <w:pStyle w:val="TableSpacer"/>
              <w:keepNext w:val="true"/>
              <w:keepLines/>
              <w:snapToGrid w:val="false"/>
              <w:rPr>
                <w:sz w:val="18"/>
              </w:rPr>
            </w:pPr>
            <w:r>
              <w:rPr>
                <w:sz w:val="18"/>
              </w:rPr>
            </w:r>
          </w:p>
        </w:tc>
      </w:tr>
      <w:tr>
        <w:trPr/>
        <w:tc>
          <w:tcPr>
            <w:tcW w:w="6690" w:type="dxa"/>
            <w:gridSpan w:val="6"/>
            <w:tcBorders>
              <w:start w:val="single" w:sz="4" w:space="0" w:color="000000"/>
              <w:bottom w:val="single" w:sz="4" w:space="0" w:color="000000"/>
              <w:end w:val="single" w:sz="4" w:space="0" w:color="000000"/>
            </w:tcBorders>
          </w:tcPr>
          <w:p>
            <w:pPr>
              <w:pStyle w:val="TableBody"/>
              <w:keepNext w:val="true"/>
              <w:keepLines/>
              <w:snapToGrid w:val="false"/>
              <w:rPr>
                <w:sz w:val="18"/>
              </w:rPr>
            </w:pPr>
            <w:r>
              <w:rPr>
                <w:sz w:val="18"/>
              </w:rPr>
            </w:r>
          </w:p>
        </w:tc>
      </w:tr>
    </w:tbl>
    <w:p>
      <w:pPr>
        <w:pStyle w:val="BLKmed1st1"/>
        <w:keepNext w:val="true"/>
        <w:keepLines/>
        <w:spacing w:before="220" w:after="220"/>
        <w:rPr/>
      </w:pPr>
      <w:r>
        <w:rPr/>
        <w:t>Southern LDCs</w:t>
      </w:r>
    </w:p>
    <w:tbl>
      <w:tblPr>
        <w:tblW w:w="6629" w:type="dxa"/>
        <w:jc w:val="start"/>
        <w:tblInd w:w="0" w:type="dxa"/>
        <w:tblLayout w:type="fixed"/>
        <w:tblCellMar>
          <w:top w:w="0" w:type="dxa"/>
          <w:start w:w="108" w:type="dxa"/>
          <w:bottom w:w="0" w:type="dxa"/>
          <w:end w:w="108" w:type="dxa"/>
        </w:tblCellMar>
      </w:tblPr>
      <w:tblGrid>
        <w:gridCol w:w="2178"/>
        <w:gridCol w:w="1170"/>
        <w:gridCol w:w="270"/>
        <w:gridCol w:w="1123"/>
        <w:gridCol w:w="1888"/>
      </w:tblGrid>
      <w:tr>
        <w:trPr/>
        <w:tc>
          <w:tcPr>
            <w:tcW w:w="2178" w:type="dxa"/>
            <w:tcBorders>
              <w:top w:val="single" w:sz="4" w:space="0" w:color="000000"/>
              <w:start w:val="single" w:sz="4" w:space="0" w:color="000000"/>
              <w:bottom w:val="single" w:sz="4" w:space="0" w:color="000000"/>
            </w:tcBorders>
            <w:shd w:fill="FFFF00" w:val="clear"/>
          </w:tcPr>
          <w:p>
            <w:pPr>
              <w:pStyle w:val="TableHead"/>
              <w:pBdr>
                <w:bottom w:val="nil"/>
              </w:pBdr>
              <w:snapToGrid w:val="false"/>
              <w:rPr>
                <w:sz w:val="18"/>
              </w:rPr>
            </w:pPr>
            <w:r>
              <w:rPr>
                <w:sz w:val="18"/>
              </w:rPr>
            </w:r>
          </w:p>
        </w:tc>
        <w:tc>
          <w:tcPr>
            <w:tcW w:w="1170" w:type="dxa"/>
            <w:tcBorders>
              <w:top w:val="single" w:sz="4" w:space="0" w:color="000000"/>
              <w:bottom w:val="single" w:sz="4" w:space="0" w:color="000000"/>
            </w:tcBorders>
            <w:shd w:fill="FFFF00" w:val="clear"/>
          </w:tcPr>
          <w:p>
            <w:pPr>
              <w:pStyle w:val="TableHead"/>
              <w:pBdr>
                <w:bottom w:val="nil"/>
              </w:pBdr>
              <w:rPr>
                <w:sz w:val="18"/>
              </w:rPr>
            </w:pPr>
            <w:r>
              <w:rPr>
                <w:sz w:val="18"/>
              </w:rPr>
              <w:t>Compagas</w:t>
            </w:r>
          </w:p>
        </w:tc>
        <w:tc>
          <w:tcPr>
            <w:tcW w:w="270" w:type="dxa"/>
            <w:tcBorders>
              <w:top w:val="single" w:sz="4" w:space="0" w:color="000000"/>
              <w:bottom w:val="single" w:sz="4" w:space="0" w:color="000000"/>
            </w:tcBorders>
            <w:shd w:fill="FFFF00" w:val="clear"/>
          </w:tcPr>
          <w:p>
            <w:pPr>
              <w:pStyle w:val="TableHead"/>
              <w:pBdr>
                <w:bottom w:val="nil"/>
              </w:pBdr>
              <w:snapToGrid w:val="false"/>
              <w:rPr>
                <w:sz w:val="18"/>
              </w:rPr>
            </w:pPr>
            <w:r>
              <w:rPr>
                <w:sz w:val="18"/>
              </w:rPr>
            </w:r>
          </w:p>
        </w:tc>
        <w:tc>
          <w:tcPr>
            <w:tcW w:w="1123" w:type="dxa"/>
            <w:tcBorders>
              <w:top w:val="single" w:sz="4" w:space="0" w:color="000000"/>
              <w:bottom w:val="single" w:sz="4" w:space="0" w:color="000000"/>
            </w:tcBorders>
            <w:shd w:fill="FFFF00" w:val="clear"/>
          </w:tcPr>
          <w:p>
            <w:pPr>
              <w:pStyle w:val="TableHead"/>
              <w:pBdr>
                <w:bottom w:val="nil"/>
              </w:pBdr>
              <w:rPr>
                <w:sz w:val="18"/>
              </w:rPr>
            </w:pPr>
            <w:r>
              <w:rPr>
                <w:sz w:val="18"/>
              </w:rPr>
              <w:t>SC Gas*</w:t>
            </w:r>
          </w:p>
        </w:tc>
        <w:tc>
          <w:tcPr>
            <w:tcW w:w="1888" w:type="dxa"/>
            <w:tcBorders>
              <w:top w:val="single" w:sz="4" w:space="0" w:color="000000"/>
              <w:bottom w:val="single" w:sz="4" w:space="0" w:color="000000"/>
              <w:end w:val="single" w:sz="4" w:space="0" w:color="000000"/>
            </w:tcBorders>
            <w:shd w:fill="FFFF00" w:val="clear"/>
          </w:tcPr>
          <w:p>
            <w:pPr>
              <w:pStyle w:val="TableHead"/>
              <w:pBdr>
                <w:bottom w:val="nil"/>
              </w:pBdr>
              <w:snapToGrid w:val="false"/>
              <w:rPr>
                <w:sz w:val="18"/>
              </w:rPr>
            </w:pPr>
            <w:r>
              <w:rPr>
                <w:sz w:val="18"/>
              </w:rPr>
            </w:r>
          </w:p>
        </w:tc>
      </w:tr>
      <w:tr>
        <w:trPr/>
        <w:tc>
          <w:tcPr>
            <w:tcW w:w="2178" w:type="dxa"/>
            <w:tcBorders>
              <w:start w:val="single" w:sz="4" w:space="0" w:color="000000"/>
            </w:tcBorders>
          </w:tcPr>
          <w:p>
            <w:pPr>
              <w:pStyle w:val="TableHeadSpace"/>
              <w:rPr>
                <w:vanish/>
                <w:color w:val="FF00FF"/>
              </w:rPr>
            </w:pPr>
            <w:r>
              <w:rPr>
                <w:vanish/>
                <w:color w:val="FF00FF"/>
              </w:rPr>
              <w:t>Do not delete</w:t>
            </w:r>
          </w:p>
        </w:tc>
        <w:tc>
          <w:tcPr>
            <w:tcW w:w="1170" w:type="dxa"/>
            <w:tcBorders/>
          </w:tcPr>
          <w:p>
            <w:pPr>
              <w:pStyle w:val="TableHeadSpace"/>
              <w:snapToGrid w:val="false"/>
              <w:rPr>
                <w:vanish/>
                <w:color w:val="FF00FF"/>
              </w:rPr>
            </w:pPr>
            <w:r>
              <w:rPr>
                <w:vanish/>
                <w:color w:val="FF00FF"/>
              </w:rPr>
            </w:r>
          </w:p>
        </w:tc>
        <w:tc>
          <w:tcPr>
            <w:tcW w:w="270" w:type="dxa"/>
            <w:tcBorders/>
          </w:tcPr>
          <w:p>
            <w:pPr>
              <w:pStyle w:val="TableHeadSpace"/>
              <w:snapToGrid w:val="false"/>
              <w:rPr/>
            </w:pPr>
            <w:r>
              <w:rPr/>
            </w:r>
          </w:p>
        </w:tc>
        <w:tc>
          <w:tcPr>
            <w:tcW w:w="1123" w:type="dxa"/>
            <w:tcBorders/>
          </w:tcPr>
          <w:p>
            <w:pPr>
              <w:pStyle w:val="TableHeadSpace"/>
              <w:snapToGrid w:val="false"/>
              <w:rPr/>
            </w:pPr>
            <w:r>
              <w:rPr/>
            </w:r>
          </w:p>
        </w:tc>
        <w:tc>
          <w:tcPr>
            <w:tcW w:w="1888" w:type="dxa"/>
            <w:tcBorders>
              <w:end w:val="single" w:sz="4" w:space="0" w:color="000000"/>
            </w:tcBorders>
          </w:tcPr>
          <w:p>
            <w:pPr>
              <w:pStyle w:val="TableHeadSpace"/>
              <w:snapToGrid w:val="false"/>
              <w:rPr>
                <w:caps w:val="false"/>
                <w:smallCaps w:val="false"/>
              </w:rPr>
            </w:pPr>
            <w:r>
              <w:rPr>
                <w:caps w:val="false"/>
                <w:smallCaps w:val="false"/>
              </w:rPr>
            </w:r>
          </w:p>
        </w:tc>
      </w:tr>
      <w:tr>
        <w:trPr/>
        <w:tc>
          <w:tcPr>
            <w:tcW w:w="2178" w:type="dxa"/>
            <w:tcBorders>
              <w:start w:val="single" w:sz="4" w:space="0" w:color="000000"/>
            </w:tcBorders>
          </w:tcPr>
          <w:p>
            <w:pPr>
              <w:pStyle w:val="TableBody"/>
              <w:keepNext w:val="true"/>
              <w:keepLines/>
              <w:rPr>
                <w:sz w:val="18"/>
              </w:rPr>
            </w:pPr>
            <w:r>
              <w:rPr>
                <w:sz w:val="18"/>
              </w:rPr>
              <w:t>Residential Market</w:t>
            </w:r>
          </w:p>
        </w:tc>
        <w:tc>
          <w:tcPr>
            <w:tcW w:w="1170" w:type="dxa"/>
            <w:tcBorders/>
          </w:tcPr>
          <w:p>
            <w:pPr>
              <w:pStyle w:val="TableBody"/>
              <w:keepNext w:val="true"/>
              <w:keepLines/>
              <w:jc w:val="center"/>
              <w:rPr>
                <w:sz w:val="18"/>
              </w:rPr>
            </w:pPr>
            <w:r>
              <w:rPr>
                <w:sz w:val="18"/>
              </w:rPr>
              <w:t>50,000</w:t>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jc w:val="center"/>
              <w:rPr>
                <w:sz w:val="18"/>
              </w:rPr>
            </w:pPr>
            <w:r>
              <w:rPr>
                <w:sz w:val="18"/>
              </w:rPr>
              <w:t>50,000</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rPr>
                <w:sz w:val="18"/>
              </w:rPr>
            </w:pPr>
            <w:r>
              <w:rPr>
                <w:sz w:val="18"/>
              </w:rPr>
              <w:t>Volume/customer/day</w:t>
            </w:r>
          </w:p>
        </w:tc>
        <w:tc>
          <w:tcPr>
            <w:tcW w:w="1170" w:type="dxa"/>
            <w:tcBorders/>
          </w:tcPr>
          <w:p>
            <w:pPr>
              <w:pStyle w:val="TableBody"/>
              <w:keepNext w:val="true"/>
              <w:keepLines/>
              <w:jc w:val="center"/>
              <w:rPr>
                <w:sz w:val="18"/>
                <w:vertAlign w:val="superscript"/>
              </w:rPr>
            </w:pPr>
            <w:r>
              <w:rPr>
                <w:sz w:val="18"/>
              </w:rPr>
              <w:t>0.8</w:t>
            </w:r>
          </w:p>
        </w:tc>
        <w:tc>
          <w:tcPr>
            <w:tcW w:w="270" w:type="dxa"/>
            <w:tcBorders/>
          </w:tcPr>
          <w:p>
            <w:pPr>
              <w:pStyle w:val="TableBody"/>
              <w:keepNext w:val="true"/>
              <w:keepLines/>
              <w:snapToGrid w:val="false"/>
              <w:jc w:val="center"/>
              <w:rPr>
                <w:sz w:val="18"/>
                <w:vertAlign w:val="superscript"/>
              </w:rPr>
            </w:pPr>
            <w:r>
              <w:rPr>
                <w:sz w:val="18"/>
                <w:vertAlign w:val="superscript"/>
              </w:rPr>
            </w:r>
          </w:p>
        </w:tc>
        <w:tc>
          <w:tcPr>
            <w:tcW w:w="1123" w:type="dxa"/>
            <w:tcBorders/>
          </w:tcPr>
          <w:p>
            <w:pPr>
              <w:pStyle w:val="TableBody"/>
              <w:keepNext w:val="true"/>
              <w:keepLines/>
              <w:jc w:val="center"/>
              <w:rPr>
                <w:sz w:val="18"/>
              </w:rPr>
            </w:pPr>
            <w:r>
              <w:rPr>
                <w:sz w:val="18"/>
              </w:rPr>
              <w:t>0.8</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ind w:start="180" w:end="0"/>
              <w:rPr>
                <w:sz w:val="18"/>
              </w:rPr>
            </w:pPr>
            <w:r>
              <w:rPr>
                <w:sz w:val="18"/>
              </w:rPr>
              <w:t>Total volume</w:t>
            </w:r>
          </w:p>
        </w:tc>
        <w:tc>
          <w:tcPr>
            <w:tcW w:w="1170" w:type="dxa"/>
            <w:tcBorders/>
          </w:tcPr>
          <w:p>
            <w:pPr>
              <w:pStyle w:val="TableBody"/>
              <w:keepNext w:val="true"/>
              <w:keepLines/>
              <w:jc w:val="center"/>
              <w:rPr>
                <w:sz w:val="18"/>
                <w:vertAlign w:val="superscript"/>
              </w:rPr>
            </w:pPr>
            <w:r>
              <w:rPr>
                <w:sz w:val="18"/>
              </w:rPr>
              <w:t>40M m</w:t>
            </w:r>
            <w:r>
              <w:rPr>
                <w:sz w:val="18"/>
                <w:vertAlign w:val="superscript"/>
              </w:rPr>
              <w:t>3</w:t>
            </w:r>
            <w:r>
              <w:rPr>
                <w:sz w:val="18"/>
              </w:rPr>
              <w:t>/day</w:t>
            </w:r>
          </w:p>
        </w:tc>
        <w:tc>
          <w:tcPr>
            <w:tcW w:w="270" w:type="dxa"/>
            <w:tcBorders/>
          </w:tcPr>
          <w:p>
            <w:pPr>
              <w:pStyle w:val="TableBody"/>
              <w:keepNext w:val="true"/>
              <w:keepLines/>
              <w:snapToGrid w:val="false"/>
              <w:jc w:val="center"/>
              <w:rPr>
                <w:sz w:val="18"/>
                <w:vertAlign w:val="superscript"/>
              </w:rPr>
            </w:pPr>
            <w:r>
              <w:rPr>
                <w:sz w:val="18"/>
                <w:vertAlign w:val="superscript"/>
              </w:rPr>
            </w:r>
          </w:p>
        </w:tc>
        <w:tc>
          <w:tcPr>
            <w:tcW w:w="1123" w:type="dxa"/>
            <w:tcBorders/>
          </w:tcPr>
          <w:p>
            <w:pPr>
              <w:pStyle w:val="TableBody"/>
              <w:keepNext w:val="true"/>
              <w:keepLines/>
              <w:jc w:val="center"/>
              <w:rPr/>
            </w:pPr>
            <w:r>
              <w:rPr>
                <w:sz w:val="18"/>
              </w:rPr>
              <w:t>40M m</w:t>
            </w:r>
            <w:r>
              <w:rPr>
                <w:sz w:val="18"/>
                <w:vertAlign w:val="superscript"/>
              </w:rPr>
              <w:t>3</w:t>
            </w:r>
            <w:r>
              <w:rPr>
                <w:sz w:val="18"/>
              </w:rPr>
              <w:t>/day</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snapToGrid w:val="false"/>
              <w:rPr>
                <w:sz w:val="18"/>
              </w:rPr>
            </w:pPr>
            <w:r>
              <w:rPr>
                <w:sz w:val="18"/>
              </w:rPr>
            </w:r>
          </w:p>
        </w:tc>
        <w:tc>
          <w:tcPr>
            <w:tcW w:w="1170" w:type="dxa"/>
            <w:tcBorders/>
          </w:tcPr>
          <w:p>
            <w:pPr>
              <w:pStyle w:val="TableBody"/>
              <w:keepNext w:val="true"/>
              <w:keepLines/>
              <w:snapToGrid w:val="false"/>
              <w:jc w:val="center"/>
              <w:rPr>
                <w:sz w:val="18"/>
              </w:rPr>
            </w:pPr>
            <w:r>
              <w:rPr>
                <w:sz w:val="18"/>
              </w:rPr>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snapToGrid w:val="false"/>
              <w:jc w:val="center"/>
              <w:rPr>
                <w:sz w:val="18"/>
              </w:rPr>
            </w:pPr>
            <w:r>
              <w:rPr>
                <w:sz w:val="18"/>
              </w:rPr>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rPr>
                <w:sz w:val="18"/>
              </w:rPr>
            </w:pPr>
            <w:r>
              <w:rPr>
                <w:sz w:val="18"/>
              </w:rPr>
              <w:t>Commercial volume</w:t>
            </w:r>
          </w:p>
        </w:tc>
        <w:tc>
          <w:tcPr>
            <w:tcW w:w="1170" w:type="dxa"/>
            <w:tcBorders/>
          </w:tcPr>
          <w:p>
            <w:pPr>
              <w:pStyle w:val="TableBody"/>
              <w:keepNext w:val="true"/>
              <w:keepLines/>
              <w:jc w:val="center"/>
              <w:rPr/>
            </w:pPr>
            <w:r>
              <w:rPr>
                <w:sz w:val="18"/>
              </w:rPr>
              <w:t>24M m</w:t>
            </w:r>
            <w:r>
              <w:rPr>
                <w:sz w:val="18"/>
                <w:vertAlign w:val="superscript"/>
              </w:rPr>
              <w:t>3</w:t>
            </w:r>
            <w:r>
              <w:rPr>
                <w:sz w:val="18"/>
              </w:rPr>
              <w:t>/day</w:t>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jc w:val="center"/>
              <w:rPr/>
            </w:pPr>
            <w:r>
              <w:rPr>
                <w:sz w:val="18"/>
              </w:rPr>
              <w:t>24M m</w:t>
            </w:r>
            <w:r>
              <w:rPr>
                <w:sz w:val="18"/>
                <w:vertAlign w:val="superscript"/>
              </w:rPr>
              <w:t>3</w:t>
            </w:r>
            <w:r>
              <w:rPr>
                <w:sz w:val="18"/>
              </w:rPr>
              <w:t>/day</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ind w:start="180" w:end="0"/>
              <w:rPr>
                <w:sz w:val="18"/>
              </w:rPr>
            </w:pPr>
            <w:r>
              <w:rPr>
                <w:sz w:val="18"/>
              </w:rPr>
              <w:t>Approval Status</w:t>
            </w:r>
          </w:p>
        </w:tc>
        <w:tc>
          <w:tcPr>
            <w:tcW w:w="1170" w:type="dxa"/>
            <w:tcBorders/>
          </w:tcPr>
          <w:p>
            <w:pPr>
              <w:pStyle w:val="TableBody"/>
              <w:keepNext w:val="true"/>
              <w:keepLines/>
              <w:jc w:val="center"/>
              <w:rPr>
                <w:sz w:val="18"/>
              </w:rPr>
            </w:pPr>
            <w:r>
              <w:rPr>
                <w:sz w:val="18"/>
              </w:rPr>
              <w:t>No</w:t>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jc w:val="center"/>
              <w:rPr>
                <w:sz w:val="18"/>
              </w:rPr>
            </w:pPr>
            <w:r>
              <w:rPr>
                <w:sz w:val="18"/>
              </w:rPr>
              <w:t>No</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tcBorders>
          </w:tcPr>
          <w:p>
            <w:pPr>
              <w:pStyle w:val="TableBody"/>
              <w:keepNext w:val="true"/>
              <w:keepLines/>
              <w:ind w:start="180" w:end="0"/>
              <w:rPr>
                <w:sz w:val="18"/>
              </w:rPr>
            </w:pPr>
            <w:r>
              <w:rPr>
                <w:sz w:val="18"/>
              </w:rPr>
              <w:t>Market Study</w:t>
            </w:r>
          </w:p>
        </w:tc>
        <w:tc>
          <w:tcPr>
            <w:tcW w:w="1170" w:type="dxa"/>
            <w:tcBorders/>
          </w:tcPr>
          <w:p>
            <w:pPr>
              <w:pStyle w:val="TableBody"/>
              <w:keepNext w:val="true"/>
              <w:keepLines/>
              <w:jc w:val="center"/>
              <w:rPr>
                <w:sz w:val="18"/>
              </w:rPr>
            </w:pPr>
            <w:r>
              <w:rPr>
                <w:sz w:val="18"/>
              </w:rPr>
              <w:t>Yes</w:t>
            </w:r>
          </w:p>
        </w:tc>
        <w:tc>
          <w:tcPr>
            <w:tcW w:w="270" w:type="dxa"/>
            <w:tcBorders/>
          </w:tcPr>
          <w:p>
            <w:pPr>
              <w:pStyle w:val="TableBody"/>
              <w:keepNext w:val="true"/>
              <w:keepLines/>
              <w:snapToGrid w:val="false"/>
              <w:jc w:val="center"/>
              <w:rPr>
                <w:sz w:val="18"/>
              </w:rPr>
            </w:pPr>
            <w:r>
              <w:rPr>
                <w:sz w:val="18"/>
              </w:rPr>
            </w:r>
          </w:p>
        </w:tc>
        <w:tc>
          <w:tcPr>
            <w:tcW w:w="1123" w:type="dxa"/>
            <w:tcBorders/>
          </w:tcPr>
          <w:p>
            <w:pPr>
              <w:pStyle w:val="TableBody"/>
              <w:keepNext w:val="true"/>
              <w:keepLines/>
              <w:jc w:val="center"/>
              <w:rPr>
                <w:sz w:val="18"/>
              </w:rPr>
            </w:pPr>
            <w:r>
              <w:rPr>
                <w:sz w:val="18"/>
              </w:rPr>
              <w:t>No</w:t>
            </w:r>
          </w:p>
        </w:tc>
        <w:tc>
          <w:tcPr>
            <w:tcW w:w="1888" w:type="dxa"/>
            <w:tcBorders>
              <w:end w:val="single" w:sz="4" w:space="0" w:color="000000"/>
            </w:tcBorders>
          </w:tcPr>
          <w:p>
            <w:pPr>
              <w:pStyle w:val="TableBody"/>
              <w:keepNext w:val="true"/>
              <w:keepLines/>
              <w:snapToGrid w:val="false"/>
              <w:jc w:val="center"/>
              <w:rPr>
                <w:sz w:val="18"/>
              </w:rPr>
            </w:pPr>
            <w:r>
              <w:rPr>
                <w:sz w:val="18"/>
              </w:rPr>
            </w:r>
          </w:p>
        </w:tc>
      </w:tr>
      <w:tr>
        <w:trPr/>
        <w:tc>
          <w:tcPr>
            <w:tcW w:w="2178" w:type="dxa"/>
            <w:tcBorders>
              <w:start w:val="single" w:sz="4" w:space="0" w:color="000000"/>
              <w:bottom w:val="single" w:sz="4" w:space="0" w:color="000000"/>
            </w:tcBorders>
          </w:tcPr>
          <w:p>
            <w:pPr>
              <w:pStyle w:val="TableSpacer"/>
              <w:keepNext w:val="true"/>
              <w:keepLines/>
              <w:snapToGrid w:val="false"/>
              <w:rPr>
                <w:sz w:val="18"/>
              </w:rPr>
            </w:pPr>
            <w:r>
              <w:rPr>
                <w:sz w:val="18"/>
              </w:rPr>
            </w:r>
          </w:p>
        </w:tc>
        <w:tc>
          <w:tcPr>
            <w:tcW w:w="1170" w:type="dxa"/>
            <w:tcBorders>
              <w:bottom w:val="single" w:sz="4" w:space="0" w:color="000000"/>
            </w:tcBorders>
          </w:tcPr>
          <w:p>
            <w:pPr>
              <w:pStyle w:val="TableSpacer"/>
              <w:keepNext w:val="true"/>
              <w:keepLines/>
              <w:snapToGrid w:val="false"/>
              <w:rPr/>
            </w:pPr>
            <w:r>
              <w:rPr/>
            </w:r>
          </w:p>
        </w:tc>
        <w:tc>
          <w:tcPr>
            <w:tcW w:w="270" w:type="dxa"/>
            <w:tcBorders>
              <w:bottom w:val="single" w:sz="4" w:space="0" w:color="000000"/>
            </w:tcBorders>
          </w:tcPr>
          <w:p>
            <w:pPr>
              <w:pStyle w:val="TableSpacer"/>
              <w:keepNext w:val="true"/>
              <w:keepLines/>
              <w:snapToGrid w:val="false"/>
              <w:rPr/>
            </w:pPr>
            <w:r>
              <w:rPr/>
            </w:r>
          </w:p>
        </w:tc>
        <w:tc>
          <w:tcPr>
            <w:tcW w:w="1123" w:type="dxa"/>
            <w:tcBorders>
              <w:bottom w:val="single" w:sz="4" w:space="0" w:color="000000"/>
            </w:tcBorders>
          </w:tcPr>
          <w:p>
            <w:pPr>
              <w:pStyle w:val="TableSpacer"/>
              <w:keepNext w:val="true"/>
              <w:keepLines/>
              <w:snapToGrid w:val="false"/>
              <w:rPr/>
            </w:pPr>
            <w:r>
              <w:rPr/>
            </w:r>
          </w:p>
        </w:tc>
        <w:tc>
          <w:tcPr>
            <w:tcW w:w="1888" w:type="dxa"/>
            <w:tcBorders>
              <w:bottom w:val="single" w:sz="4" w:space="0" w:color="000000"/>
              <w:end w:val="single" w:sz="4" w:space="0" w:color="000000"/>
            </w:tcBorders>
          </w:tcPr>
          <w:p>
            <w:pPr>
              <w:pStyle w:val="TableSpacer"/>
              <w:keepNext w:val="true"/>
              <w:keepLines/>
              <w:snapToGrid w:val="false"/>
              <w:rPr/>
            </w:pPr>
            <w:r>
              <w:rPr/>
            </w:r>
          </w:p>
        </w:tc>
      </w:tr>
      <w:tr>
        <w:trPr/>
        <w:tc>
          <w:tcPr>
            <w:tcW w:w="6629" w:type="dxa"/>
            <w:gridSpan w:val="5"/>
            <w:tcBorders/>
          </w:tcPr>
          <w:p>
            <w:pPr>
              <w:pStyle w:val="TableBody"/>
              <w:keepNext w:val="true"/>
              <w:keepLines/>
              <w:spacing w:lineRule="auto" w:line="300" w:before="0" w:after="220"/>
              <w:rPr/>
            </w:pPr>
            <w:r>
              <w:rPr/>
              <w:t>*Though no study undertaken, market size/demographics are believed to be similar to Compagas’s.</w:t>
            </w:r>
          </w:p>
        </w:tc>
      </w:tr>
    </w:tbl>
    <w:p>
      <w:pPr>
        <w:pStyle w:val="Normal"/>
        <w:rPr/>
      </w:pPr>
      <w:r>
        <w:rPr/>
        <w:t>The states of Paraná and Santa Catarina, in particular, have attractive industrial bases as well as some potential heating load in the residential sector.  In Paraná, Compagás is targeting a range of potential industrial customers in the food, metals, paper and chemicals sectors, in particular.  In Santa Catarina, SCGás is targeting potential industrial customers in the ceramic, food and textiles industries, in particular.  SCGás already has contracts signed with 19 customers and anticipates reaching a total of 68 contracted customers representing total consumption of 875,562 cm/d before the end of 2000.</w:t>
      </w:r>
    </w:p>
    <w:p>
      <w:pPr>
        <w:pStyle w:val="Normal"/>
        <w:rPr/>
      </w:pPr>
      <w:r>
        <w:rPr/>
        <w:t>Both Compagás and SCGás will also be building distribution networks to connect residential and commercial customers, particularly in the major cities of Curitiba, São João dos Pinhais, Joinville, Blumenan, Florianópolis and Criciuma.</w:t>
      </w:r>
    </w:p>
    <w:p>
      <w:pPr>
        <w:pStyle w:val="Normal"/>
        <w:rPr>
          <w:b/>
        </w:rPr>
      </w:pPr>
      <w:r>
        <w:rPr>
          <w:b/>
        </w:rPr>
        <w:t>[Provide Information On Northeast LDC Expansion Plans]</w:t>
      </w:r>
    </w:p>
    <w:p>
      <w:pPr>
        <w:pStyle w:val="Heading5"/>
        <w:rPr/>
      </w:pPr>
      <w:r>
        <w:rPr/>
        <w:t>Contracts</w:t>
      </w:r>
    </w:p>
    <w:p>
      <w:pPr>
        <w:pStyle w:val="Normal"/>
        <w:rPr/>
      </w:pPr>
      <w:r>
        <w:rPr/>
        <w:t>The Gaspart LDCs have gas sale contracts with each industrial customer. Contracts with end users are interruptible for up to 9 days per quarter, with end user penalties for accepting less than 80-90% of the quarterly contracted amount.  End user penalties for failure to accept the minimum amount is equal to the shortfall of gas times the tariff for fuel oil.  The disco is not obligated to deliver if Petrobras does not ship the gas.</w:t>
      </w:r>
    </w:p>
    <w:p>
      <w:pPr>
        <w:pStyle w:val="Heading5"/>
        <w:rPr/>
      </w:pPr>
      <w:r>
        <w:rPr/>
        <w:t>Gas Supplies</w:t>
      </w:r>
    </w:p>
    <w:p>
      <w:pPr>
        <w:pStyle w:val="Normal"/>
        <w:rPr/>
      </w:pPr>
      <w:r>
        <w:rPr/>
        <w:t xml:space="preserve">Five of the LDCs (all in the northeast) are currently delivering gas to approximately 125 industrial clients.  The two LDCs in the south, </w:t>
        <w:br/>
        <w:t>SC Gas in Santa Catarina and Compagas in Paraná, recently started operations after the completion of the Bolivia to Brazil Pipeline in 1999, and after the completion of the initial build out of their distribution networks.</w:t>
      </w:r>
    </w:p>
    <w:p>
      <w:pPr>
        <w:pStyle w:val="Normal"/>
        <w:keepNext w:val="true"/>
        <w:numPr>
          <w:ilvl w:val="0"/>
          <w:numId w:val="0"/>
        </w:numPr>
        <w:outlineLvl w:val="0"/>
        <w:rPr>
          <w:b/>
          <w:u w:val="single"/>
        </w:rPr>
      </w:pPr>
      <w:r>
        <w:rPr>
          <w:b/>
          <w:u w:val="single"/>
        </w:rPr>
        <w:t>Northeast LDCs</w:t>
      </w:r>
    </w:p>
    <w:p>
      <w:pPr>
        <w:pStyle w:val="BLKmed1st1"/>
        <w:keepNext w:val="true"/>
        <w:keepLines/>
        <w:rPr/>
      </w:pPr>
      <w:r>
        <w:rPr/>
        <w:t>In the Northeast supply contracts with Petrobras and marketing contracts with customers establish pricing based on the price of residual fuel oil, reducing pricing risk.  Contracts with Petrobras are interruptible by the LDC for up to 74 days per year, equivalent to an 80% take-or-pay obligation in respect of the volumes contracted.</w:t>
      </w:r>
    </w:p>
    <w:p>
      <w:pPr>
        <w:pStyle w:val="BLKmed1st1"/>
        <w:keepNext w:val="true"/>
        <w:keepLines/>
        <w:rPr/>
      </w:pPr>
      <w:r>
        <w:rPr/>
        <w:t>The tables below summarise the contractual volume purchase obligations of each LDC:</w:t>
      </w:r>
    </w:p>
    <w:tbl>
      <w:tblPr>
        <w:tblW w:w="9270" w:type="dxa"/>
        <w:jc w:val="start"/>
        <w:tblInd w:w="-2682" w:type="dxa"/>
        <w:tblLayout w:type="fixed"/>
        <w:tblCellMar>
          <w:top w:w="0" w:type="dxa"/>
          <w:start w:w="108" w:type="dxa"/>
          <w:bottom w:w="0" w:type="dxa"/>
          <w:end w:w="108" w:type="dxa"/>
        </w:tblCellMar>
      </w:tblPr>
      <w:tblGrid>
        <w:gridCol w:w="1080"/>
        <w:gridCol w:w="1638"/>
        <w:gridCol w:w="1638"/>
        <w:gridCol w:w="1638"/>
        <w:gridCol w:w="1638"/>
        <w:gridCol w:w="1638"/>
      </w:tblGrid>
      <w:tr>
        <w:trPr>
          <w:tblHeader w:val="true"/>
        </w:trPr>
        <w:tc>
          <w:tcPr>
            <w:tcW w:w="1080" w:type="dxa"/>
            <w:tcBorders>
              <w:top w:val="single" w:sz="4" w:space="0" w:color="000000"/>
              <w:start w:val="single" w:sz="4" w:space="0" w:color="000000"/>
            </w:tcBorders>
            <w:shd w:fill="FFFF00" w:val="clear"/>
            <w:vAlign w:val="bottom"/>
          </w:tcPr>
          <w:p>
            <w:pPr>
              <w:pStyle w:val="TableBody"/>
              <w:keepNext w:val="true"/>
              <w:snapToGrid w:val="false"/>
              <w:rPr>
                <w:sz w:val="18"/>
              </w:rPr>
            </w:pPr>
            <w:r>
              <w:rPr>
                <w:sz w:val="18"/>
              </w:rPr>
            </w:r>
          </w:p>
        </w:tc>
        <w:tc>
          <w:tcPr>
            <w:tcW w:w="8190" w:type="dxa"/>
            <w:gridSpan w:val="5"/>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Gaspart</w:t>
            </w:r>
          </w:p>
        </w:tc>
      </w:tr>
      <w:tr>
        <w:trPr>
          <w:tblHeader w:val="true"/>
        </w:trPr>
        <w:tc>
          <w:tcPr>
            <w:tcW w:w="1080" w:type="dxa"/>
            <w:tcBorders>
              <w:start w:val="single" w:sz="4" w:space="0" w:color="000000"/>
            </w:tcBorders>
            <w:shd w:fill="FFFF00" w:val="clear"/>
            <w:vAlign w:val="bottom"/>
          </w:tcPr>
          <w:p>
            <w:pPr>
              <w:pStyle w:val="TableBody"/>
              <w:keepNext w:val="true"/>
              <w:snapToGrid w:val="false"/>
              <w:rPr>
                <w:b/>
                <w:sz w:val="18"/>
              </w:rPr>
            </w:pPr>
            <w:r>
              <w:rPr>
                <w:b/>
                <w:sz w:val="18"/>
              </w:rPr>
            </w:r>
          </w:p>
        </w:tc>
        <w:tc>
          <w:tcPr>
            <w:tcW w:w="1638" w:type="dxa"/>
            <w:tcBorders>
              <w:bottom w:val="single" w:sz="4" w:space="0" w:color="000000"/>
            </w:tcBorders>
            <w:shd w:fill="FFFF00" w:val="clear"/>
            <w:vAlign w:val="bottom"/>
          </w:tcPr>
          <w:p>
            <w:pPr>
              <w:pStyle w:val="TableHead"/>
              <w:pBdr>
                <w:bottom w:val="nil"/>
              </w:pBdr>
              <w:rPr>
                <w:sz w:val="18"/>
              </w:rPr>
            </w:pPr>
            <w:r>
              <w:rPr>
                <w:sz w:val="18"/>
              </w:rPr>
              <w:t>PB Gas</w:t>
            </w:r>
          </w:p>
        </w:tc>
        <w:tc>
          <w:tcPr>
            <w:tcW w:w="1638" w:type="dxa"/>
            <w:tcBorders>
              <w:bottom w:val="single" w:sz="4" w:space="0" w:color="000000"/>
            </w:tcBorders>
            <w:shd w:fill="FFFF00" w:val="clear"/>
            <w:vAlign w:val="bottom"/>
          </w:tcPr>
          <w:p>
            <w:pPr>
              <w:pStyle w:val="TableHead"/>
              <w:pBdr>
                <w:bottom w:val="nil"/>
              </w:pBdr>
              <w:rPr>
                <w:sz w:val="18"/>
              </w:rPr>
            </w:pPr>
            <w:r>
              <w:rPr>
                <w:sz w:val="18"/>
              </w:rPr>
              <w:t>Copergas</w:t>
            </w:r>
          </w:p>
        </w:tc>
        <w:tc>
          <w:tcPr>
            <w:tcW w:w="1638" w:type="dxa"/>
            <w:tcBorders>
              <w:bottom w:val="single" w:sz="4" w:space="0" w:color="000000"/>
            </w:tcBorders>
            <w:shd w:fill="FFFF00" w:val="clear"/>
            <w:vAlign w:val="bottom"/>
          </w:tcPr>
          <w:p>
            <w:pPr>
              <w:pStyle w:val="TableHead"/>
              <w:pBdr>
                <w:bottom w:val="nil"/>
              </w:pBdr>
              <w:rPr>
                <w:sz w:val="18"/>
              </w:rPr>
            </w:pPr>
            <w:r>
              <w:rPr>
                <w:sz w:val="18"/>
              </w:rPr>
              <w:t>Algas</w:t>
            </w:r>
          </w:p>
        </w:tc>
        <w:tc>
          <w:tcPr>
            <w:tcW w:w="1638" w:type="dxa"/>
            <w:tcBorders>
              <w:bottom w:val="single" w:sz="4" w:space="0" w:color="000000"/>
            </w:tcBorders>
            <w:shd w:fill="FFFF00" w:val="clear"/>
          </w:tcPr>
          <w:p>
            <w:pPr>
              <w:pStyle w:val="TableHead"/>
              <w:pBdr>
                <w:bottom w:val="nil"/>
              </w:pBdr>
              <w:rPr>
                <w:sz w:val="18"/>
              </w:rPr>
            </w:pPr>
            <w:r>
              <w:rPr>
                <w:sz w:val="18"/>
              </w:rPr>
              <w:t>Emsergas</w:t>
            </w:r>
          </w:p>
        </w:tc>
        <w:tc>
          <w:tcPr>
            <w:tcW w:w="1638" w:type="dxa"/>
            <w:tcBorders>
              <w:bottom w:val="single" w:sz="4" w:space="0" w:color="000000"/>
              <w:end w:val="single" w:sz="4" w:space="0" w:color="000000"/>
            </w:tcBorders>
            <w:shd w:fill="FFFF00" w:val="clear"/>
            <w:vAlign w:val="bottom"/>
          </w:tcPr>
          <w:p>
            <w:pPr>
              <w:pStyle w:val="TableHead"/>
              <w:pBdr>
                <w:bottom w:val="nil"/>
              </w:pBdr>
              <w:rPr>
                <w:sz w:val="18"/>
              </w:rPr>
            </w:pPr>
            <w:r>
              <w:rPr>
                <w:sz w:val="18"/>
              </w:rPr>
              <w:t>Bahiagas</w:t>
            </w:r>
          </w:p>
        </w:tc>
      </w:tr>
      <w:tr>
        <w:trPr/>
        <w:tc>
          <w:tcPr>
            <w:tcW w:w="1080" w:type="dxa"/>
            <w:tcBorders>
              <w:start w:val="single" w:sz="4" w:space="0" w:color="000000"/>
            </w:tcBorders>
          </w:tcPr>
          <w:p>
            <w:pPr>
              <w:pStyle w:val="TableSpacer"/>
              <w:keepNext w:val="true"/>
              <w:snapToGrid w:val="false"/>
              <w:rPr>
                <w:sz w:val="18"/>
              </w:rPr>
            </w:pPr>
            <w:r>
              <w:rPr>
                <w:sz w:val="18"/>
              </w:rPr>
            </w:r>
          </w:p>
        </w:tc>
        <w:tc>
          <w:tcPr>
            <w:tcW w:w="1638" w:type="dxa"/>
            <w:tcBorders/>
          </w:tcPr>
          <w:p>
            <w:pPr>
              <w:pStyle w:val="TableSpacer"/>
              <w:keepNext w:val="true"/>
              <w:snapToGrid w:val="false"/>
              <w:rPr>
                <w:sz w:val="18"/>
              </w:rPr>
            </w:pPr>
            <w:r>
              <w:rPr>
                <w:sz w:val="18"/>
              </w:rPr>
            </w:r>
          </w:p>
        </w:tc>
        <w:tc>
          <w:tcPr>
            <w:tcW w:w="1638" w:type="dxa"/>
            <w:tcBorders/>
          </w:tcPr>
          <w:p>
            <w:pPr>
              <w:pStyle w:val="TableSpacer"/>
              <w:keepNext w:val="true"/>
              <w:snapToGrid w:val="false"/>
              <w:rPr>
                <w:sz w:val="18"/>
              </w:rPr>
            </w:pPr>
            <w:r>
              <w:rPr>
                <w:sz w:val="18"/>
              </w:rPr>
            </w:r>
          </w:p>
        </w:tc>
        <w:tc>
          <w:tcPr>
            <w:tcW w:w="1638" w:type="dxa"/>
            <w:tcBorders/>
          </w:tcPr>
          <w:p>
            <w:pPr>
              <w:pStyle w:val="TableSpacer"/>
              <w:keepNext w:val="true"/>
              <w:snapToGrid w:val="false"/>
              <w:rPr>
                <w:sz w:val="18"/>
              </w:rPr>
            </w:pPr>
            <w:r>
              <w:rPr>
                <w:sz w:val="18"/>
              </w:rPr>
            </w:r>
          </w:p>
        </w:tc>
        <w:tc>
          <w:tcPr>
            <w:tcW w:w="1638" w:type="dxa"/>
            <w:tcBorders/>
          </w:tcPr>
          <w:p>
            <w:pPr>
              <w:pStyle w:val="TableSpacer"/>
              <w:keepNext w:val="true"/>
              <w:snapToGrid w:val="false"/>
              <w:rPr>
                <w:sz w:val="18"/>
              </w:rPr>
            </w:pPr>
            <w:r>
              <w:rPr>
                <w:sz w:val="18"/>
              </w:rPr>
            </w:r>
          </w:p>
        </w:tc>
        <w:tc>
          <w:tcPr>
            <w:tcW w:w="1638" w:type="dxa"/>
            <w:tcBorders>
              <w:end w:val="single" w:sz="4" w:space="0" w:color="000000"/>
            </w:tcBorders>
          </w:tcPr>
          <w:p>
            <w:pPr>
              <w:pStyle w:val="TableSpacer"/>
              <w:keepNext w:val="true"/>
              <w:snapToGrid w:val="false"/>
              <w:rPr>
                <w:sz w:val="18"/>
              </w:rPr>
            </w:pPr>
            <w:r>
              <w:rPr>
                <w:sz w:val="18"/>
              </w:rPr>
            </w:r>
          </w:p>
        </w:tc>
      </w:tr>
      <w:tr>
        <w:trPr/>
        <w:tc>
          <w:tcPr>
            <w:tcW w:w="1080" w:type="dxa"/>
            <w:tcBorders>
              <w:start w:val="single" w:sz="4" w:space="0" w:color="000000"/>
            </w:tcBorders>
          </w:tcPr>
          <w:p>
            <w:pPr>
              <w:pStyle w:val="TableBody"/>
              <w:keepNext w:val="true"/>
              <w:rPr>
                <w:sz w:val="18"/>
              </w:rPr>
            </w:pPr>
            <w:r>
              <w:rPr>
                <w:sz w:val="18"/>
              </w:rPr>
              <w:t>Term</w:t>
            </w:r>
          </w:p>
        </w:tc>
        <w:tc>
          <w:tcPr>
            <w:tcW w:w="1638" w:type="dxa"/>
            <w:tcBorders/>
          </w:tcPr>
          <w:p>
            <w:pPr>
              <w:pStyle w:val="TableBody"/>
              <w:keepNext w:val="true"/>
              <w:rPr>
                <w:sz w:val="18"/>
              </w:rPr>
            </w:pPr>
            <w:r>
              <w:rPr>
                <w:sz w:val="18"/>
              </w:rPr>
              <w:t>10 yrs., extend if mutually agreed</w:t>
            </w:r>
          </w:p>
        </w:tc>
        <w:tc>
          <w:tcPr>
            <w:tcW w:w="1638" w:type="dxa"/>
            <w:tcBorders/>
          </w:tcPr>
          <w:p>
            <w:pPr>
              <w:pStyle w:val="TableBody"/>
              <w:keepNext w:val="true"/>
              <w:rPr>
                <w:sz w:val="18"/>
              </w:rPr>
            </w:pPr>
            <w:r>
              <w:rPr>
                <w:sz w:val="18"/>
              </w:rPr>
              <w:t>10 yrs., extend if mutually agreed</w:t>
            </w:r>
          </w:p>
        </w:tc>
        <w:tc>
          <w:tcPr>
            <w:tcW w:w="1638" w:type="dxa"/>
            <w:tcBorders/>
          </w:tcPr>
          <w:p>
            <w:pPr>
              <w:pStyle w:val="TableBody"/>
              <w:keepNext w:val="true"/>
              <w:rPr>
                <w:sz w:val="18"/>
              </w:rPr>
            </w:pPr>
            <w:r>
              <w:rPr>
                <w:sz w:val="18"/>
              </w:rPr>
              <w:t>10 yrs., extend if mutually agreed</w:t>
            </w:r>
          </w:p>
        </w:tc>
        <w:tc>
          <w:tcPr>
            <w:tcW w:w="1638" w:type="dxa"/>
            <w:tcBorders/>
          </w:tcPr>
          <w:p>
            <w:pPr>
              <w:pStyle w:val="TableBody"/>
              <w:keepNext w:val="true"/>
              <w:rPr>
                <w:sz w:val="18"/>
              </w:rPr>
            </w:pPr>
            <w:r>
              <w:rPr>
                <w:sz w:val="18"/>
              </w:rPr>
              <w:t>10 yrs., extend if mutually agreed</w:t>
            </w:r>
          </w:p>
        </w:tc>
        <w:tc>
          <w:tcPr>
            <w:tcW w:w="1638" w:type="dxa"/>
            <w:tcBorders>
              <w:end w:val="single" w:sz="4" w:space="0" w:color="000000"/>
            </w:tcBorders>
          </w:tcPr>
          <w:p>
            <w:pPr>
              <w:pStyle w:val="TableBody"/>
              <w:keepNext w:val="true"/>
              <w:rPr>
                <w:sz w:val="18"/>
              </w:rPr>
            </w:pPr>
            <w:r>
              <w:rPr>
                <w:sz w:val="18"/>
              </w:rPr>
              <w:t>10 yrs., extend if mutually agreed</w:t>
            </w:r>
          </w:p>
        </w:tc>
      </w:tr>
      <w:tr>
        <w:trPr/>
        <w:tc>
          <w:tcPr>
            <w:tcW w:w="1080" w:type="dxa"/>
            <w:tcBorders>
              <w:start w:val="single" w:sz="4" w:space="0" w:color="000000"/>
            </w:tcBorders>
          </w:tcPr>
          <w:p>
            <w:pPr>
              <w:pStyle w:val="TableSpacer"/>
              <w:keepNext w:val="true"/>
              <w:snapToGrid w:val="false"/>
              <w:rPr>
                <w:sz w:val="18"/>
              </w:rPr>
            </w:pPr>
            <w:r>
              <w:rPr>
                <w:sz w:val="18"/>
              </w:rPr>
            </w:r>
          </w:p>
        </w:tc>
        <w:tc>
          <w:tcPr>
            <w:tcW w:w="1638" w:type="dxa"/>
            <w:tcBorders/>
          </w:tcPr>
          <w:p>
            <w:pPr>
              <w:pStyle w:val="TableSpacer"/>
              <w:keepNext w:val="true"/>
              <w:snapToGrid w:val="false"/>
              <w:rPr>
                <w:sz w:val="18"/>
              </w:rPr>
            </w:pPr>
            <w:r>
              <w:rPr>
                <w:sz w:val="18"/>
              </w:rPr>
            </w:r>
          </w:p>
        </w:tc>
        <w:tc>
          <w:tcPr>
            <w:tcW w:w="1638" w:type="dxa"/>
            <w:tcBorders/>
          </w:tcPr>
          <w:p>
            <w:pPr>
              <w:pStyle w:val="TableSpacer"/>
              <w:keepNext w:val="true"/>
              <w:snapToGrid w:val="false"/>
              <w:rPr>
                <w:sz w:val="18"/>
              </w:rPr>
            </w:pPr>
            <w:r>
              <w:rPr>
                <w:sz w:val="18"/>
              </w:rPr>
            </w:r>
          </w:p>
        </w:tc>
        <w:tc>
          <w:tcPr>
            <w:tcW w:w="1638" w:type="dxa"/>
            <w:tcBorders/>
          </w:tcPr>
          <w:p>
            <w:pPr>
              <w:pStyle w:val="TableSpacer"/>
              <w:keepNext w:val="true"/>
              <w:snapToGrid w:val="false"/>
              <w:rPr>
                <w:sz w:val="18"/>
              </w:rPr>
            </w:pPr>
            <w:r>
              <w:rPr>
                <w:sz w:val="18"/>
              </w:rPr>
            </w:r>
          </w:p>
        </w:tc>
        <w:tc>
          <w:tcPr>
            <w:tcW w:w="1638" w:type="dxa"/>
            <w:tcBorders/>
          </w:tcPr>
          <w:p>
            <w:pPr>
              <w:pStyle w:val="TableSpacer"/>
              <w:keepNext w:val="true"/>
              <w:snapToGrid w:val="false"/>
              <w:rPr>
                <w:sz w:val="18"/>
              </w:rPr>
            </w:pPr>
            <w:r>
              <w:rPr>
                <w:sz w:val="18"/>
              </w:rPr>
            </w:r>
          </w:p>
        </w:tc>
        <w:tc>
          <w:tcPr>
            <w:tcW w:w="1638" w:type="dxa"/>
            <w:tcBorders>
              <w:end w:val="single" w:sz="4" w:space="0" w:color="000000"/>
            </w:tcBorders>
          </w:tcPr>
          <w:p>
            <w:pPr>
              <w:pStyle w:val="TableSpacer"/>
              <w:keepNext w:val="true"/>
              <w:snapToGrid w:val="false"/>
              <w:rPr>
                <w:sz w:val="18"/>
              </w:rPr>
            </w:pPr>
            <w:r>
              <w:rPr>
                <w:sz w:val="18"/>
              </w:rPr>
            </w:r>
          </w:p>
        </w:tc>
      </w:tr>
      <w:tr>
        <w:trPr/>
        <w:tc>
          <w:tcPr>
            <w:tcW w:w="1080" w:type="dxa"/>
            <w:tcBorders>
              <w:start w:val="single" w:sz="4" w:space="0" w:color="000000"/>
            </w:tcBorders>
          </w:tcPr>
          <w:p>
            <w:pPr>
              <w:pStyle w:val="TableBody"/>
              <w:keepNext w:val="true"/>
              <w:rPr>
                <w:sz w:val="18"/>
              </w:rPr>
            </w:pPr>
            <w:r>
              <w:rPr>
                <w:sz w:val="18"/>
              </w:rPr>
              <w:t>Quantity</w:t>
            </w:r>
          </w:p>
          <w:p>
            <w:pPr>
              <w:pStyle w:val="TableBody"/>
              <w:keepNext w:val="true"/>
              <w:rPr>
                <w:sz w:val="18"/>
              </w:rPr>
            </w:pPr>
            <w:r>
              <w:rPr>
                <w:sz w:val="18"/>
              </w:rPr>
            </w:r>
          </w:p>
          <w:p>
            <w:pPr>
              <w:pStyle w:val="TableBody"/>
              <w:keepNext w:val="true"/>
              <w:rPr>
                <w:sz w:val="18"/>
              </w:rPr>
            </w:pPr>
            <w:r>
              <w:rPr>
                <w:sz w:val="18"/>
              </w:rPr>
              <w:t>Annual Average Daily Quantity (AADQ)</w:t>
            </w:r>
          </w:p>
        </w:tc>
        <w:tc>
          <w:tcPr>
            <w:tcW w:w="1638" w:type="dxa"/>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(‘000 m3/day)</w:t>
            </w:r>
          </w:p>
          <w:p>
            <w:pPr>
              <w:pStyle w:val="TableBody"/>
              <w:keepNext w:val="true"/>
              <w:tabs>
                <w:tab w:val="clear" w:pos="720"/>
                <w:tab w:val="right" w:pos="1062" w:leader="none"/>
              </w:tabs>
              <w:rPr>
                <w:sz w:val="18"/>
              </w:rPr>
            </w:pPr>
            <w:r>
              <w:rPr>
                <w:sz w:val="18"/>
              </w:rPr>
              <w:t>1994</w:t>
              <w:tab/>
            </w:r>
          </w:p>
          <w:p>
            <w:pPr>
              <w:pStyle w:val="TableBody"/>
              <w:keepNext w:val="true"/>
              <w:tabs>
                <w:tab w:val="clear" w:pos="720"/>
                <w:tab w:val="right" w:pos="1062" w:leader="none"/>
              </w:tabs>
              <w:rPr>
                <w:sz w:val="18"/>
              </w:rPr>
            </w:pPr>
            <w:r>
              <w:rPr>
                <w:sz w:val="18"/>
              </w:rPr>
              <w:t>1995</w:t>
              <w:tab/>
              <w:t>50</w:t>
            </w:r>
          </w:p>
          <w:p>
            <w:pPr>
              <w:pStyle w:val="TableBody"/>
              <w:keepNext w:val="true"/>
              <w:tabs>
                <w:tab w:val="clear" w:pos="720"/>
                <w:tab w:val="right" w:pos="1062" w:leader="none"/>
              </w:tabs>
              <w:rPr>
                <w:sz w:val="18"/>
              </w:rPr>
            </w:pPr>
            <w:r>
              <w:rPr>
                <w:sz w:val="18"/>
              </w:rPr>
              <w:t>1996</w:t>
              <w:tab/>
              <w:t>80</w:t>
            </w:r>
          </w:p>
          <w:p>
            <w:pPr>
              <w:pStyle w:val="TableBody"/>
              <w:keepNext w:val="true"/>
              <w:tabs>
                <w:tab w:val="clear" w:pos="720"/>
                <w:tab w:val="right" w:pos="1062" w:leader="none"/>
              </w:tabs>
              <w:rPr>
                <w:sz w:val="18"/>
              </w:rPr>
            </w:pPr>
            <w:r>
              <w:rPr>
                <w:sz w:val="18"/>
              </w:rPr>
              <w:t>1997</w:t>
              <w:tab/>
              <w:t>125</w:t>
            </w:r>
          </w:p>
          <w:p>
            <w:pPr>
              <w:pStyle w:val="TableBody"/>
              <w:keepNext w:val="true"/>
              <w:tabs>
                <w:tab w:val="clear" w:pos="720"/>
                <w:tab w:val="right" w:pos="1062" w:leader="none"/>
              </w:tabs>
              <w:rPr>
                <w:sz w:val="18"/>
              </w:rPr>
            </w:pPr>
            <w:r>
              <w:rPr>
                <w:sz w:val="18"/>
              </w:rPr>
              <w:t>1998</w:t>
              <w:tab/>
              <w:t>125</w:t>
            </w:r>
          </w:p>
          <w:p>
            <w:pPr>
              <w:pStyle w:val="TableBody"/>
              <w:keepNext w:val="true"/>
              <w:tabs>
                <w:tab w:val="clear" w:pos="720"/>
                <w:tab w:val="right" w:pos="1062" w:leader="none"/>
              </w:tabs>
              <w:rPr>
                <w:sz w:val="18"/>
              </w:rPr>
            </w:pPr>
            <w:r>
              <w:rPr>
                <w:sz w:val="18"/>
              </w:rPr>
              <w:t>1999</w:t>
              <w:tab/>
              <w:t>125</w:t>
            </w:r>
          </w:p>
          <w:p>
            <w:pPr>
              <w:pStyle w:val="TableBody"/>
              <w:keepNext w:val="true"/>
              <w:tabs>
                <w:tab w:val="clear" w:pos="720"/>
                <w:tab w:val="right" w:pos="1062" w:leader="none"/>
              </w:tabs>
              <w:rPr>
                <w:sz w:val="18"/>
              </w:rPr>
            </w:pPr>
            <w:r>
              <w:rPr>
                <w:sz w:val="18"/>
              </w:rPr>
              <w:t>2000</w:t>
              <w:tab/>
              <w:t>200</w:t>
            </w:r>
          </w:p>
          <w:p>
            <w:pPr>
              <w:pStyle w:val="TableBody"/>
              <w:keepNext w:val="true"/>
              <w:tabs>
                <w:tab w:val="clear" w:pos="720"/>
                <w:tab w:val="right" w:pos="1062" w:leader="none"/>
              </w:tabs>
              <w:rPr>
                <w:sz w:val="18"/>
              </w:rPr>
            </w:pPr>
            <w:r>
              <w:rPr>
                <w:sz w:val="18"/>
              </w:rPr>
              <w:t>2001</w:t>
              <w:tab/>
              <w:t>200</w:t>
            </w:r>
          </w:p>
          <w:p>
            <w:pPr>
              <w:pStyle w:val="TableBody"/>
              <w:keepNext w:val="true"/>
              <w:tabs>
                <w:tab w:val="clear" w:pos="720"/>
                <w:tab w:val="right" w:pos="1062" w:leader="none"/>
              </w:tabs>
              <w:rPr>
                <w:sz w:val="18"/>
              </w:rPr>
            </w:pPr>
            <w:r>
              <w:rPr>
                <w:sz w:val="18"/>
              </w:rPr>
              <w:t>2002</w:t>
              <w:tab/>
              <w:t>200</w:t>
            </w:r>
          </w:p>
          <w:p>
            <w:pPr>
              <w:pStyle w:val="TableBody"/>
              <w:keepNext w:val="true"/>
              <w:tabs>
                <w:tab w:val="clear" w:pos="720"/>
                <w:tab w:val="right" w:pos="1062" w:leader="none"/>
              </w:tabs>
              <w:rPr>
                <w:sz w:val="18"/>
              </w:rPr>
            </w:pPr>
            <w:r>
              <w:rPr>
                <w:sz w:val="18"/>
              </w:rPr>
              <w:t>2003</w:t>
              <w:tab/>
              <w:t>200</w:t>
            </w:r>
          </w:p>
          <w:p>
            <w:pPr>
              <w:pStyle w:val="TableBody"/>
              <w:keepNext w:val="true"/>
              <w:tabs>
                <w:tab w:val="clear" w:pos="720"/>
                <w:tab w:val="right" w:pos="1062" w:leader="none"/>
              </w:tabs>
              <w:rPr>
                <w:sz w:val="18"/>
              </w:rPr>
            </w:pPr>
            <w:r>
              <w:rPr>
                <w:sz w:val="18"/>
              </w:rPr>
              <w:t>2004</w:t>
              <w:tab/>
              <w:t>200</w:t>
            </w:r>
          </w:p>
          <w:p>
            <w:pPr>
              <w:pStyle w:val="TableBody"/>
              <w:keepNext w:val="true"/>
              <w:tabs>
                <w:tab w:val="clear" w:pos="720"/>
                <w:tab w:val="right" w:pos="1062" w:leader="none"/>
              </w:tabs>
              <w:rPr>
                <w:sz w:val="18"/>
              </w:rPr>
            </w:pPr>
            <w:r>
              <w:rPr>
                <w:sz w:val="18"/>
              </w:rPr>
              <w:t>2005</w:t>
              <w:tab/>
              <w:t>200</w:t>
            </w:r>
          </w:p>
        </w:tc>
        <w:tc>
          <w:tcPr>
            <w:tcW w:w="1638" w:type="dxa"/>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(‘000 m3/day)</w:t>
            </w:r>
          </w:p>
          <w:p>
            <w:pPr>
              <w:pStyle w:val="TableBody"/>
              <w:keepNext w:val="true"/>
              <w:tabs>
                <w:tab w:val="clear" w:pos="720"/>
                <w:tab w:val="right" w:pos="1062" w:leader="none"/>
              </w:tabs>
              <w:rPr>
                <w:sz w:val="18"/>
              </w:rPr>
            </w:pPr>
            <w:r>
              <w:rPr>
                <w:sz w:val="18"/>
              </w:rPr>
              <w:t>1994</w:t>
              <w:tab/>
              <w:t>400</w:t>
            </w:r>
          </w:p>
          <w:p>
            <w:pPr>
              <w:pStyle w:val="TableBody"/>
              <w:keepNext w:val="true"/>
              <w:tabs>
                <w:tab w:val="clear" w:pos="720"/>
                <w:tab w:val="right" w:pos="1062" w:leader="none"/>
              </w:tabs>
              <w:rPr>
                <w:sz w:val="18"/>
              </w:rPr>
            </w:pPr>
            <w:r>
              <w:rPr>
                <w:sz w:val="18"/>
              </w:rPr>
              <w:t>1995</w:t>
              <w:tab/>
              <w:t>480</w:t>
            </w:r>
          </w:p>
          <w:p>
            <w:pPr>
              <w:pStyle w:val="TableBody"/>
              <w:keepNext w:val="true"/>
              <w:tabs>
                <w:tab w:val="clear" w:pos="720"/>
                <w:tab w:val="right" w:pos="1062" w:leader="none"/>
              </w:tabs>
              <w:rPr>
                <w:sz w:val="18"/>
              </w:rPr>
            </w:pPr>
            <w:r>
              <w:rPr>
                <w:sz w:val="18"/>
              </w:rPr>
              <w:t>1996</w:t>
              <w:tab/>
              <w:t>570</w:t>
            </w:r>
          </w:p>
          <w:p>
            <w:pPr>
              <w:pStyle w:val="TableBody"/>
              <w:keepNext w:val="true"/>
              <w:tabs>
                <w:tab w:val="clear" w:pos="720"/>
                <w:tab w:val="right" w:pos="1062" w:leader="none"/>
              </w:tabs>
              <w:rPr>
                <w:sz w:val="18"/>
              </w:rPr>
            </w:pPr>
            <w:r>
              <w:rPr>
                <w:sz w:val="18"/>
              </w:rPr>
              <w:t>1997</w:t>
              <w:tab/>
              <w:t>700</w:t>
            </w:r>
          </w:p>
          <w:p>
            <w:pPr>
              <w:pStyle w:val="TableBody"/>
              <w:keepNext w:val="true"/>
              <w:tabs>
                <w:tab w:val="clear" w:pos="720"/>
                <w:tab w:val="right" w:pos="1062" w:leader="none"/>
              </w:tabs>
              <w:rPr>
                <w:sz w:val="18"/>
              </w:rPr>
            </w:pPr>
            <w:r>
              <w:rPr>
                <w:sz w:val="18"/>
              </w:rPr>
              <w:t>1998</w:t>
              <w:tab/>
              <w:t>700</w:t>
            </w:r>
          </w:p>
          <w:p>
            <w:pPr>
              <w:pStyle w:val="TableBody"/>
              <w:keepNext w:val="true"/>
              <w:tabs>
                <w:tab w:val="clear" w:pos="720"/>
                <w:tab w:val="right" w:pos="1062" w:leader="none"/>
              </w:tabs>
              <w:rPr>
                <w:sz w:val="18"/>
              </w:rPr>
            </w:pPr>
            <w:r>
              <w:rPr>
                <w:sz w:val="18"/>
              </w:rPr>
              <w:t>1999</w:t>
              <w:tab/>
              <w:t>700</w:t>
            </w:r>
          </w:p>
          <w:p>
            <w:pPr>
              <w:pStyle w:val="TableBody"/>
              <w:keepNext w:val="true"/>
              <w:tabs>
                <w:tab w:val="clear" w:pos="720"/>
                <w:tab w:val="right" w:pos="1062" w:leader="none"/>
              </w:tabs>
              <w:rPr>
                <w:sz w:val="18"/>
              </w:rPr>
            </w:pPr>
            <w:r>
              <w:rPr>
                <w:sz w:val="18"/>
              </w:rPr>
              <w:t>2000</w:t>
              <w:tab/>
              <w:t>700</w:t>
            </w:r>
          </w:p>
          <w:p>
            <w:pPr>
              <w:pStyle w:val="TableBody"/>
              <w:keepNext w:val="true"/>
              <w:tabs>
                <w:tab w:val="clear" w:pos="720"/>
                <w:tab w:val="right" w:pos="1062" w:leader="none"/>
              </w:tabs>
              <w:rPr>
                <w:sz w:val="18"/>
              </w:rPr>
            </w:pPr>
            <w:r>
              <w:rPr>
                <w:sz w:val="18"/>
              </w:rPr>
              <w:t>2001</w:t>
              <w:tab/>
              <w:t>700</w:t>
            </w:r>
          </w:p>
          <w:p>
            <w:pPr>
              <w:pStyle w:val="TableBody"/>
              <w:keepNext w:val="true"/>
              <w:tabs>
                <w:tab w:val="clear" w:pos="720"/>
                <w:tab w:val="right" w:pos="1062" w:leader="none"/>
              </w:tabs>
              <w:rPr>
                <w:sz w:val="18"/>
              </w:rPr>
            </w:pPr>
            <w:r>
              <w:rPr>
                <w:sz w:val="18"/>
              </w:rPr>
              <w:t>2002</w:t>
              <w:tab/>
              <w:t>700</w:t>
            </w:r>
          </w:p>
          <w:p>
            <w:pPr>
              <w:pStyle w:val="TableBody"/>
              <w:keepNext w:val="true"/>
              <w:tabs>
                <w:tab w:val="clear" w:pos="720"/>
                <w:tab w:val="right" w:pos="1062" w:leader="none"/>
              </w:tabs>
              <w:rPr>
                <w:sz w:val="18"/>
              </w:rPr>
            </w:pPr>
            <w:r>
              <w:rPr>
                <w:sz w:val="18"/>
              </w:rPr>
              <w:t>2003</w:t>
              <w:tab/>
              <w:t>700</w:t>
            </w:r>
          </w:p>
          <w:p>
            <w:pPr>
              <w:pStyle w:val="TableBody"/>
              <w:keepNext w:val="true"/>
              <w:tabs>
                <w:tab w:val="clear" w:pos="720"/>
                <w:tab w:val="right" w:pos="1062" w:leader="none"/>
              </w:tabs>
              <w:rPr>
                <w:sz w:val="18"/>
              </w:rPr>
            </w:pPr>
            <w:r>
              <w:rPr>
                <w:sz w:val="18"/>
              </w:rPr>
              <w:t>2004</w:t>
              <w:tab/>
              <w:t>700</w:t>
            </w:r>
          </w:p>
          <w:p>
            <w:pPr>
              <w:pStyle w:val="TableBody"/>
              <w:keepNext w:val="true"/>
              <w:rPr>
                <w:sz w:val="18"/>
              </w:rPr>
            </w:pPr>
            <w:r>
              <w:rPr>
                <w:sz w:val="18"/>
              </w:rPr>
            </w:r>
          </w:p>
        </w:tc>
        <w:tc>
          <w:tcPr>
            <w:tcW w:w="1638" w:type="dxa"/>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(‘000 m3/day)</w:t>
            </w:r>
          </w:p>
          <w:p>
            <w:pPr>
              <w:pStyle w:val="TableBody"/>
              <w:keepNext w:val="true"/>
              <w:tabs>
                <w:tab w:val="clear" w:pos="720"/>
                <w:tab w:val="right" w:pos="1062" w:leader="none"/>
              </w:tabs>
              <w:rPr>
                <w:sz w:val="18"/>
              </w:rPr>
            </w:pPr>
            <w:r>
              <w:rPr>
                <w:sz w:val="18"/>
              </w:rPr>
              <w:t>1994</w:t>
              <w:tab/>
              <w:t>175</w:t>
            </w:r>
          </w:p>
          <w:p>
            <w:pPr>
              <w:pStyle w:val="TableBody"/>
              <w:keepNext w:val="true"/>
              <w:tabs>
                <w:tab w:val="clear" w:pos="720"/>
                <w:tab w:val="right" w:pos="1062" w:leader="none"/>
              </w:tabs>
              <w:rPr>
                <w:sz w:val="18"/>
              </w:rPr>
            </w:pPr>
            <w:r>
              <w:rPr>
                <w:sz w:val="18"/>
              </w:rPr>
              <w:t>1995</w:t>
              <w:tab/>
              <w:t>190</w:t>
            </w:r>
          </w:p>
          <w:p>
            <w:pPr>
              <w:pStyle w:val="TableBody"/>
              <w:keepNext w:val="true"/>
              <w:tabs>
                <w:tab w:val="clear" w:pos="720"/>
                <w:tab w:val="right" w:pos="1062" w:leader="none"/>
              </w:tabs>
              <w:rPr>
                <w:sz w:val="18"/>
              </w:rPr>
            </w:pPr>
            <w:r>
              <w:rPr>
                <w:sz w:val="18"/>
              </w:rPr>
              <w:t>1996</w:t>
              <w:tab/>
              <w:t>210</w:t>
            </w:r>
          </w:p>
          <w:p>
            <w:pPr>
              <w:pStyle w:val="TableBody"/>
              <w:keepNext w:val="true"/>
              <w:tabs>
                <w:tab w:val="clear" w:pos="720"/>
                <w:tab w:val="right" w:pos="1062" w:leader="none"/>
              </w:tabs>
              <w:rPr>
                <w:sz w:val="18"/>
              </w:rPr>
            </w:pPr>
            <w:r>
              <w:rPr>
                <w:sz w:val="18"/>
              </w:rPr>
              <w:t>1997</w:t>
              <w:tab/>
              <w:t>390</w:t>
            </w:r>
          </w:p>
          <w:p>
            <w:pPr>
              <w:pStyle w:val="TableBody"/>
              <w:keepNext w:val="true"/>
              <w:tabs>
                <w:tab w:val="clear" w:pos="720"/>
                <w:tab w:val="right" w:pos="1062" w:leader="none"/>
              </w:tabs>
              <w:rPr>
                <w:sz w:val="18"/>
              </w:rPr>
            </w:pPr>
            <w:r>
              <w:rPr>
                <w:sz w:val="18"/>
              </w:rPr>
              <w:t>1998</w:t>
              <w:tab/>
              <w:t>430</w:t>
            </w:r>
          </w:p>
          <w:p>
            <w:pPr>
              <w:pStyle w:val="TableBody"/>
              <w:keepNext w:val="true"/>
              <w:tabs>
                <w:tab w:val="clear" w:pos="720"/>
                <w:tab w:val="right" w:pos="1062" w:leader="none"/>
              </w:tabs>
              <w:rPr>
                <w:sz w:val="18"/>
              </w:rPr>
            </w:pPr>
            <w:r>
              <w:rPr>
                <w:sz w:val="18"/>
              </w:rPr>
              <w:t>1999</w:t>
              <w:tab/>
              <w:t>470</w:t>
            </w:r>
          </w:p>
          <w:p>
            <w:pPr>
              <w:pStyle w:val="TableBody"/>
              <w:keepNext w:val="true"/>
              <w:tabs>
                <w:tab w:val="clear" w:pos="720"/>
                <w:tab w:val="right" w:pos="1062" w:leader="none"/>
              </w:tabs>
              <w:rPr>
                <w:sz w:val="18"/>
              </w:rPr>
            </w:pPr>
            <w:r>
              <w:rPr>
                <w:sz w:val="18"/>
              </w:rPr>
              <w:t>2000</w:t>
              <w:tab/>
              <w:t>520</w:t>
            </w:r>
          </w:p>
          <w:p>
            <w:pPr>
              <w:pStyle w:val="TableBody"/>
              <w:keepNext w:val="true"/>
              <w:tabs>
                <w:tab w:val="clear" w:pos="720"/>
                <w:tab w:val="right" w:pos="1062" w:leader="none"/>
              </w:tabs>
              <w:rPr>
                <w:sz w:val="18"/>
              </w:rPr>
            </w:pPr>
            <w:r>
              <w:rPr>
                <w:sz w:val="18"/>
              </w:rPr>
              <w:t>2001</w:t>
              <w:tab/>
              <w:t>570</w:t>
            </w:r>
          </w:p>
          <w:p>
            <w:pPr>
              <w:pStyle w:val="TableBody"/>
              <w:keepNext w:val="true"/>
              <w:tabs>
                <w:tab w:val="clear" w:pos="720"/>
                <w:tab w:val="right" w:pos="1062" w:leader="none"/>
              </w:tabs>
              <w:rPr>
                <w:sz w:val="18"/>
              </w:rPr>
            </w:pPr>
            <w:r>
              <w:rPr>
                <w:sz w:val="18"/>
              </w:rPr>
              <w:t>2002</w:t>
              <w:tab/>
              <w:t>630</w:t>
            </w:r>
          </w:p>
          <w:p>
            <w:pPr>
              <w:pStyle w:val="TableBody"/>
              <w:keepNext w:val="true"/>
              <w:tabs>
                <w:tab w:val="clear" w:pos="720"/>
                <w:tab w:val="right" w:pos="1062" w:leader="none"/>
              </w:tabs>
              <w:rPr>
                <w:sz w:val="18"/>
              </w:rPr>
            </w:pPr>
            <w:r>
              <w:rPr>
                <w:sz w:val="18"/>
              </w:rPr>
              <w:t>2003</w:t>
              <w:tab/>
              <w:t>690</w:t>
            </w:r>
          </w:p>
          <w:p>
            <w:pPr>
              <w:pStyle w:val="TableBody"/>
              <w:keepNext w:val="true"/>
              <w:tabs>
                <w:tab w:val="clear" w:pos="720"/>
                <w:tab w:val="right" w:pos="1062" w:leader="none"/>
              </w:tabs>
              <w:rPr>
                <w:sz w:val="18"/>
              </w:rPr>
            </w:pPr>
            <w:r>
              <w:rPr>
                <w:sz w:val="18"/>
              </w:rPr>
              <w:t>2004</w:t>
              <w:tab/>
              <w:t>750</w:t>
            </w:r>
          </w:p>
          <w:p>
            <w:pPr>
              <w:pStyle w:val="TableBody"/>
              <w:keepNext w:val="true"/>
              <w:rPr>
                <w:sz w:val="18"/>
              </w:rPr>
            </w:pPr>
            <w:r>
              <w:rPr>
                <w:sz w:val="18"/>
              </w:rPr>
            </w:r>
          </w:p>
        </w:tc>
        <w:tc>
          <w:tcPr>
            <w:tcW w:w="1638" w:type="dxa"/>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(‘000 m3/day)</w:t>
            </w:r>
          </w:p>
          <w:p>
            <w:pPr>
              <w:pStyle w:val="TableBody"/>
              <w:keepNext w:val="true"/>
              <w:tabs>
                <w:tab w:val="clear" w:pos="720"/>
                <w:tab w:val="right" w:pos="1062" w:leader="none"/>
              </w:tabs>
              <w:rPr>
                <w:sz w:val="18"/>
              </w:rPr>
            </w:pPr>
            <w:r>
              <w:rPr>
                <w:sz w:val="18"/>
              </w:rPr>
              <w:t>1994</w:t>
              <w:tab/>
            </w:r>
          </w:p>
          <w:p>
            <w:pPr>
              <w:pStyle w:val="TableBody"/>
              <w:keepNext w:val="true"/>
              <w:tabs>
                <w:tab w:val="clear" w:pos="720"/>
                <w:tab w:val="right" w:pos="1062" w:leader="none"/>
              </w:tabs>
              <w:rPr>
                <w:sz w:val="18"/>
              </w:rPr>
            </w:pPr>
            <w:r>
              <w:rPr>
                <w:sz w:val="18"/>
              </w:rPr>
              <w:t>1995</w:t>
              <w:tab/>
              <w:t>70</w:t>
            </w:r>
          </w:p>
          <w:p>
            <w:pPr>
              <w:pStyle w:val="TableBody"/>
              <w:keepNext w:val="true"/>
              <w:tabs>
                <w:tab w:val="clear" w:pos="720"/>
                <w:tab w:val="right" w:pos="1062" w:leader="none"/>
              </w:tabs>
              <w:rPr>
                <w:sz w:val="18"/>
              </w:rPr>
            </w:pPr>
            <w:r>
              <w:rPr>
                <w:sz w:val="18"/>
              </w:rPr>
              <w:t>1996</w:t>
              <w:tab/>
              <w:t>80</w:t>
            </w:r>
          </w:p>
          <w:p>
            <w:pPr>
              <w:pStyle w:val="TableBody"/>
              <w:keepNext w:val="true"/>
              <w:tabs>
                <w:tab w:val="clear" w:pos="720"/>
                <w:tab w:val="right" w:pos="1062" w:leader="none"/>
              </w:tabs>
              <w:rPr>
                <w:sz w:val="18"/>
              </w:rPr>
            </w:pPr>
            <w:r>
              <w:rPr>
                <w:sz w:val="18"/>
              </w:rPr>
              <w:t>1997</w:t>
              <w:tab/>
              <w:t>100</w:t>
            </w:r>
          </w:p>
          <w:p>
            <w:pPr>
              <w:pStyle w:val="TableBody"/>
              <w:keepNext w:val="true"/>
              <w:tabs>
                <w:tab w:val="clear" w:pos="720"/>
                <w:tab w:val="right" w:pos="1062" w:leader="none"/>
              </w:tabs>
              <w:rPr>
                <w:sz w:val="18"/>
              </w:rPr>
            </w:pPr>
            <w:r>
              <w:rPr>
                <w:sz w:val="18"/>
              </w:rPr>
              <w:t>1998</w:t>
              <w:tab/>
              <w:t>110</w:t>
            </w:r>
          </w:p>
          <w:p>
            <w:pPr>
              <w:pStyle w:val="TableBody"/>
              <w:keepNext w:val="true"/>
              <w:tabs>
                <w:tab w:val="clear" w:pos="720"/>
                <w:tab w:val="right" w:pos="1062" w:leader="none"/>
              </w:tabs>
              <w:rPr>
                <w:sz w:val="18"/>
              </w:rPr>
            </w:pPr>
            <w:r>
              <w:rPr>
                <w:sz w:val="18"/>
              </w:rPr>
              <w:t>1999</w:t>
              <w:tab/>
              <w:t>120</w:t>
            </w:r>
          </w:p>
          <w:p>
            <w:pPr>
              <w:pStyle w:val="TableBody"/>
              <w:keepNext w:val="true"/>
              <w:tabs>
                <w:tab w:val="clear" w:pos="720"/>
                <w:tab w:val="right" w:pos="1062" w:leader="none"/>
              </w:tabs>
              <w:rPr>
                <w:sz w:val="18"/>
              </w:rPr>
            </w:pPr>
            <w:r>
              <w:rPr>
                <w:sz w:val="18"/>
              </w:rPr>
              <w:t>2000</w:t>
              <w:tab/>
              <w:t>140</w:t>
            </w:r>
          </w:p>
          <w:p>
            <w:pPr>
              <w:pStyle w:val="TableBody"/>
              <w:keepNext w:val="true"/>
              <w:tabs>
                <w:tab w:val="clear" w:pos="720"/>
                <w:tab w:val="right" w:pos="1062" w:leader="none"/>
              </w:tabs>
              <w:rPr>
                <w:sz w:val="18"/>
              </w:rPr>
            </w:pPr>
            <w:r>
              <w:rPr>
                <w:sz w:val="18"/>
              </w:rPr>
              <w:t>2001</w:t>
              <w:tab/>
              <w:t>140</w:t>
            </w:r>
          </w:p>
          <w:p>
            <w:pPr>
              <w:pStyle w:val="TableBody"/>
              <w:keepNext w:val="true"/>
              <w:tabs>
                <w:tab w:val="clear" w:pos="720"/>
                <w:tab w:val="right" w:pos="1062" w:leader="none"/>
              </w:tabs>
              <w:rPr>
                <w:sz w:val="18"/>
              </w:rPr>
            </w:pPr>
            <w:r>
              <w:rPr>
                <w:sz w:val="18"/>
              </w:rPr>
              <w:t>2002</w:t>
              <w:tab/>
              <w:t>140</w:t>
            </w:r>
          </w:p>
          <w:p>
            <w:pPr>
              <w:pStyle w:val="TableBody"/>
              <w:keepNext w:val="true"/>
              <w:tabs>
                <w:tab w:val="clear" w:pos="720"/>
                <w:tab w:val="right" w:pos="1062" w:leader="none"/>
              </w:tabs>
              <w:rPr>
                <w:sz w:val="18"/>
              </w:rPr>
            </w:pPr>
            <w:r>
              <w:rPr>
                <w:sz w:val="18"/>
              </w:rPr>
              <w:t>2003</w:t>
              <w:tab/>
              <w:t>140</w:t>
            </w:r>
          </w:p>
          <w:p>
            <w:pPr>
              <w:pStyle w:val="TableBody"/>
              <w:keepNext w:val="true"/>
              <w:numPr>
                <w:ilvl w:val="0"/>
                <w:numId w:val="3"/>
              </w:numPr>
              <w:tabs>
                <w:tab w:val="clear" w:pos="720"/>
                <w:tab w:val="right" w:pos="1062" w:leader="none"/>
              </w:tabs>
              <w:rPr>
                <w:sz w:val="18"/>
              </w:rPr>
            </w:pPr>
            <w:r>
              <w:rPr>
                <w:sz w:val="18"/>
              </w:rPr>
              <w:t>140</w:t>
            </w:r>
          </w:p>
          <w:p>
            <w:pPr>
              <w:pStyle w:val="TableBody"/>
              <w:keepNext w:val="true"/>
              <w:numPr>
                <w:ilvl w:val="0"/>
                <w:numId w:val="3"/>
              </w:numPr>
              <w:tabs>
                <w:tab w:val="clear" w:pos="720"/>
                <w:tab w:val="right" w:pos="1062" w:leader="none"/>
              </w:tabs>
              <w:rPr>
                <w:sz w:val="18"/>
              </w:rPr>
            </w:pPr>
            <w:r>
              <w:rPr>
                <w:sz w:val="18"/>
              </w:rPr>
              <w:t>140</w:t>
            </w:r>
          </w:p>
        </w:tc>
        <w:tc>
          <w:tcPr>
            <w:tcW w:w="1638" w:type="dxa"/>
            <w:tcBorders>
              <w:end w:val="single" w:sz="4" w:space="0" w:color="000000"/>
            </w:tcBorders>
          </w:tcPr>
          <w:p>
            <w:pPr>
              <w:pStyle w:val="TableBody"/>
              <w:keepNext w:val="true"/>
              <w:tabs>
                <w:tab w:val="clear" w:pos="720"/>
                <w:tab w:val="center" w:pos="1062" w:leader="none"/>
              </w:tabs>
              <w:rPr>
                <w:sz w:val="18"/>
              </w:rPr>
            </w:pPr>
            <w:r>
              <w:rPr>
                <w:sz w:val="18"/>
              </w:rPr>
              <w:tab/>
              <w:t>AADQ</w:t>
            </w:r>
          </w:p>
          <w:p>
            <w:pPr>
              <w:pStyle w:val="TableBody"/>
              <w:keepNext w:val="true"/>
              <w:tabs>
                <w:tab w:val="clear" w:pos="720"/>
                <w:tab w:val="center" w:pos="1062" w:leader="none"/>
              </w:tabs>
              <w:rPr>
                <w:sz w:val="18"/>
              </w:rPr>
            </w:pPr>
            <w:r>
              <w:rPr>
                <w:sz w:val="18"/>
              </w:rPr>
              <w:t>Year</w:t>
              <w:tab/>
              <w:t>(‘000 m3/day)</w:t>
            </w:r>
          </w:p>
          <w:p>
            <w:pPr>
              <w:pStyle w:val="TableBody"/>
              <w:keepNext w:val="true"/>
              <w:tabs>
                <w:tab w:val="clear" w:pos="720"/>
                <w:tab w:val="right" w:pos="1062" w:leader="none"/>
              </w:tabs>
              <w:rPr>
                <w:sz w:val="18"/>
              </w:rPr>
            </w:pPr>
            <w:r>
              <w:rPr>
                <w:sz w:val="18"/>
              </w:rPr>
              <w:t>1994</w:t>
              <w:tab/>
              <w:t>1,200</w:t>
            </w:r>
          </w:p>
          <w:p>
            <w:pPr>
              <w:pStyle w:val="TableBody"/>
              <w:keepNext w:val="true"/>
              <w:tabs>
                <w:tab w:val="clear" w:pos="720"/>
                <w:tab w:val="right" w:pos="1062" w:leader="none"/>
              </w:tabs>
              <w:rPr>
                <w:sz w:val="18"/>
              </w:rPr>
            </w:pPr>
            <w:r>
              <w:rPr>
                <w:sz w:val="18"/>
              </w:rPr>
              <w:t>1995</w:t>
              <w:tab/>
              <w:t>1,500</w:t>
            </w:r>
          </w:p>
          <w:p>
            <w:pPr>
              <w:pStyle w:val="TableBody"/>
              <w:keepNext w:val="true"/>
              <w:tabs>
                <w:tab w:val="clear" w:pos="720"/>
                <w:tab w:val="right" w:pos="1062" w:leader="none"/>
              </w:tabs>
              <w:rPr>
                <w:sz w:val="18"/>
              </w:rPr>
            </w:pPr>
            <w:r>
              <w:rPr>
                <w:sz w:val="18"/>
              </w:rPr>
              <w:t>1996</w:t>
              <w:tab/>
              <w:t>1,800</w:t>
            </w:r>
          </w:p>
          <w:p>
            <w:pPr>
              <w:pStyle w:val="TableBody"/>
              <w:keepNext w:val="true"/>
              <w:tabs>
                <w:tab w:val="clear" w:pos="720"/>
                <w:tab w:val="right" w:pos="1062" w:leader="none"/>
              </w:tabs>
              <w:rPr>
                <w:sz w:val="18"/>
              </w:rPr>
            </w:pPr>
            <w:r>
              <w:rPr>
                <w:sz w:val="18"/>
              </w:rPr>
              <w:t>1997</w:t>
              <w:tab/>
              <w:t>2,000</w:t>
            </w:r>
          </w:p>
          <w:p>
            <w:pPr>
              <w:pStyle w:val="TableBody"/>
              <w:keepNext w:val="true"/>
              <w:tabs>
                <w:tab w:val="clear" w:pos="720"/>
                <w:tab w:val="right" w:pos="1062" w:leader="none"/>
              </w:tabs>
              <w:rPr>
                <w:sz w:val="18"/>
              </w:rPr>
            </w:pPr>
            <w:r>
              <w:rPr>
                <w:sz w:val="18"/>
              </w:rPr>
              <w:t>1998</w:t>
              <w:tab/>
              <w:t>2,200</w:t>
            </w:r>
          </w:p>
          <w:p>
            <w:pPr>
              <w:pStyle w:val="TableBody"/>
              <w:keepNext w:val="true"/>
              <w:tabs>
                <w:tab w:val="clear" w:pos="720"/>
                <w:tab w:val="right" w:pos="1062" w:leader="none"/>
              </w:tabs>
              <w:rPr>
                <w:sz w:val="18"/>
              </w:rPr>
            </w:pPr>
            <w:r>
              <w:rPr>
                <w:sz w:val="18"/>
              </w:rPr>
              <w:t>1999</w:t>
              <w:tab/>
              <w:t>2,400</w:t>
            </w:r>
          </w:p>
          <w:p>
            <w:pPr>
              <w:pStyle w:val="TableBody"/>
              <w:keepNext w:val="true"/>
              <w:tabs>
                <w:tab w:val="clear" w:pos="720"/>
                <w:tab w:val="right" w:pos="1062" w:leader="none"/>
              </w:tabs>
              <w:rPr>
                <w:sz w:val="18"/>
              </w:rPr>
            </w:pPr>
            <w:r>
              <w:rPr>
                <w:sz w:val="18"/>
              </w:rPr>
              <w:t>2000</w:t>
              <w:tab/>
              <w:t>2,400</w:t>
            </w:r>
          </w:p>
          <w:p>
            <w:pPr>
              <w:pStyle w:val="TableBody"/>
              <w:keepNext w:val="true"/>
              <w:tabs>
                <w:tab w:val="clear" w:pos="720"/>
                <w:tab w:val="right" w:pos="1062" w:leader="none"/>
              </w:tabs>
              <w:rPr>
                <w:sz w:val="18"/>
              </w:rPr>
            </w:pPr>
            <w:r>
              <w:rPr>
                <w:sz w:val="18"/>
              </w:rPr>
              <w:t>2001</w:t>
              <w:tab/>
              <w:t>2,400</w:t>
            </w:r>
          </w:p>
          <w:p>
            <w:pPr>
              <w:pStyle w:val="TableBody"/>
              <w:keepNext w:val="true"/>
              <w:tabs>
                <w:tab w:val="clear" w:pos="720"/>
                <w:tab w:val="right" w:pos="1062" w:leader="none"/>
              </w:tabs>
              <w:rPr>
                <w:sz w:val="18"/>
              </w:rPr>
            </w:pPr>
            <w:r>
              <w:rPr>
                <w:sz w:val="18"/>
              </w:rPr>
              <w:t>2002</w:t>
              <w:tab/>
              <w:t>2,400</w:t>
            </w:r>
          </w:p>
          <w:p>
            <w:pPr>
              <w:pStyle w:val="TableBody"/>
              <w:keepNext w:val="true"/>
              <w:tabs>
                <w:tab w:val="clear" w:pos="720"/>
                <w:tab w:val="right" w:pos="1062" w:leader="none"/>
              </w:tabs>
              <w:rPr>
                <w:sz w:val="18"/>
              </w:rPr>
            </w:pPr>
            <w:r>
              <w:rPr>
                <w:sz w:val="18"/>
              </w:rPr>
              <w:t>2003</w:t>
              <w:tab/>
              <w:t>2,400</w:t>
            </w:r>
          </w:p>
          <w:p>
            <w:pPr>
              <w:pStyle w:val="TableBody"/>
              <w:keepNext w:val="true"/>
              <w:tabs>
                <w:tab w:val="clear" w:pos="720"/>
                <w:tab w:val="right" w:pos="1062" w:leader="none"/>
              </w:tabs>
              <w:rPr>
                <w:sz w:val="18"/>
              </w:rPr>
            </w:pPr>
            <w:r>
              <w:rPr>
                <w:sz w:val="18"/>
              </w:rPr>
              <w:t>2004</w:t>
              <w:tab/>
              <w:t>2,400</w:t>
            </w:r>
          </w:p>
          <w:p>
            <w:pPr>
              <w:pStyle w:val="TableBody"/>
              <w:keepNext w:val="true"/>
              <w:rPr>
                <w:sz w:val="18"/>
              </w:rPr>
            </w:pPr>
            <w:r>
              <w:rPr>
                <w:sz w:val="18"/>
              </w:rPr>
            </w:r>
          </w:p>
        </w:tc>
      </w:tr>
      <w:tr>
        <w:trPr/>
        <w:tc>
          <w:tcPr>
            <w:tcW w:w="1080" w:type="dxa"/>
            <w:tcBorders>
              <w:start w:val="single" w:sz="4" w:space="0" w:color="000000"/>
              <w:bottom w:val="single" w:sz="4" w:space="0" w:color="000000"/>
            </w:tcBorders>
          </w:tcPr>
          <w:p>
            <w:pPr>
              <w:pStyle w:val="TableSpacer"/>
              <w:snapToGrid w:val="false"/>
              <w:rPr>
                <w:sz w:val="18"/>
              </w:rPr>
            </w:pPr>
            <w:r>
              <w:rPr>
                <w:sz w:val="18"/>
              </w:rPr>
            </w:r>
          </w:p>
        </w:tc>
        <w:tc>
          <w:tcPr>
            <w:tcW w:w="1638" w:type="dxa"/>
            <w:tcBorders>
              <w:bottom w:val="single" w:sz="4" w:space="0" w:color="000000"/>
            </w:tcBorders>
          </w:tcPr>
          <w:p>
            <w:pPr>
              <w:pStyle w:val="TableSpacer"/>
              <w:snapToGrid w:val="false"/>
              <w:rPr/>
            </w:pPr>
            <w:r>
              <w:rPr/>
            </w:r>
          </w:p>
        </w:tc>
        <w:tc>
          <w:tcPr>
            <w:tcW w:w="1638" w:type="dxa"/>
            <w:tcBorders>
              <w:bottom w:val="single" w:sz="4" w:space="0" w:color="000000"/>
            </w:tcBorders>
          </w:tcPr>
          <w:p>
            <w:pPr>
              <w:pStyle w:val="TableSpacer"/>
              <w:snapToGrid w:val="false"/>
              <w:rPr/>
            </w:pPr>
            <w:r>
              <w:rPr/>
            </w:r>
          </w:p>
        </w:tc>
        <w:tc>
          <w:tcPr>
            <w:tcW w:w="1638" w:type="dxa"/>
            <w:tcBorders>
              <w:bottom w:val="single" w:sz="4" w:space="0" w:color="000000"/>
            </w:tcBorders>
          </w:tcPr>
          <w:p>
            <w:pPr>
              <w:pStyle w:val="TableSpacer"/>
              <w:snapToGrid w:val="false"/>
              <w:rPr/>
            </w:pPr>
            <w:r>
              <w:rPr/>
            </w:r>
          </w:p>
        </w:tc>
        <w:tc>
          <w:tcPr>
            <w:tcW w:w="1638" w:type="dxa"/>
            <w:tcBorders>
              <w:bottom w:val="single" w:sz="4" w:space="0" w:color="000000"/>
            </w:tcBorders>
          </w:tcPr>
          <w:p>
            <w:pPr>
              <w:pStyle w:val="TableSpacer"/>
              <w:snapToGrid w:val="false"/>
              <w:rPr/>
            </w:pPr>
            <w:r>
              <w:rPr/>
            </w:r>
          </w:p>
        </w:tc>
        <w:tc>
          <w:tcPr>
            <w:tcW w:w="1638" w:type="dxa"/>
            <w:tcBorders>
              <w:bottom w:val="single" w:sz="4" w:space="0" w:color="000000"/>
              <w:end w:val="single" w:sz="4" w:space="0" w:color="000000"/>
            </w:tcBorders>
          </w:tcPr>
          <w:p>
            <w:pPr>
              <w:pStyle w:val="TableSpacer"/>
              <w:snapToGrid w:val="false"/>
              <w:rPr/>
            </w:pPr>
            <w:r>
              <w:rPr/>
            </w:r>
          </w:p>
        </w:tc>
      </w:tr>
    </w:tbl>
    <w:p>
      <w:pPr>
        <w:pStyle w:val="tabletitles"/>
        <w:keepNext w:val="false"/>
        <w:numPr>
          <w:ilvl w:val="0"/>
          <w:numId w:val="0"/>
        </w:numPr>
        <w:spacing w:before="220" w:after="220"/>
        <w:outlineLvl w:val="0"/>
        <w:rPr>
          <w:b w:val="false"/>
          <w:u w:val="none"/>
        </w:rPr>
      </w:pPr>
      <w:r>
        <w:rPr>
          <w:b w:val="false"/>
          <w:u w:val="none"/>
        </w:rPr>
        <w:t>The price for gas purchased from Petrobras by the Northeast LDCs is set by the Federal Government and is set so as to be competitive with fuel oils and to facilitate non-fuel gas use.</w:t>
      </w:r>
    </w:p>
    <w:p>
      <w:pPr>
        <w:pStyle w:val="tabletitles"/>
        <w:keepNext w:val="false"/>
        <w:numPr>
          <w:ilvl w:val="0"/>
          <w:numId w:val="0"/>
        </w:numPr>
        <w:spacing w:lineRule="auto" w:line="300" w:before="0" w:after="220"/>
        <w:outlineLvl w:val="0"/>
        <w:rPr>
          <w:b w:val="false"/>
          <w:u w:val="none"/>
        </w:rPr>
      </w:pPr>
      <w:r>
        <w:rPr>
          <w:b w:val="false"/>
          <w:u w:val="none"/>
        </w:rPr>
        <w:t>Currently, prices are set at a level of 1A fuel x0.75.</w:t>
      </w:r>
    </w:p>
    <w:p>
      <w:pPr>
        <w:pStyle w:val="tabletitles"/>
        <w:numPr>
          <w:ilvl w:val="0"/>
          <w:numId w:val="0"/>
        </w:numPr>
        <w:spacing w:before="220" w:after="220"/>
        <w:outlineLvl w:val="0"/>
        <w:rPr/>
      </w:pPr>
      <w:r>
        <w:rPr/>
        <w:t>Southern LDCs</w:t>
      </w:r>
    </w:p>
    <w:p>
      <w:pPr>
        <w:pStyle w:val="BLKmed1st1"/>
        <w:rPr/>
      </w:pPr>
      <w:r>
        <w:rPr/>
        <w:t>The price for gas purchased from Petrobras by the Southern LDCs reflects the cost of the gas purchased by Petrobras from YPFB and the transportation tariff of BBPL to the delivery point.  In the case of Compagás, however, there is an explicit link between the gas price and FOB Fuel Oil 1A through December 2003, Gas take-or-pay obligations increase from 0% in the first year to 80% in the third year.  Transportation take-or-pay increases form 55% in the first year to 95% in years 11 to 20.</w:t>
      </w:r>
      <w:r>
        <w:rPr>
          <w:b/>
        </w:rPr>
        <w:t xml:space="preserve"> </w:t>
      </w:r>
      <w:r>
        <w:rPr/>
        <w:t>The table below shows the volumes contracted between Petrobras and the Southern LDCs</w:t>
      </w:r>
    </w:p>
    <w:tbl>
      <w:tblPr>
        <w:tblW w:w="6660" w:type="dxa"/>
        <w:jc w:val="start"/>
        <w:tblInd w:w="108" w:type="dxa"/>
        <w:tblLayout w:type="fixed"/>
        <w:tblCellMar>
          <w:top w:w="0" w:type="dxa"/>
          <w:start w:w="108" w:type="dxa"/>
          <w:bottom w:w="0" w:type="dxa"/>
          <w:end w:w="108" w:type="dxa"/>
        </w:tblCellMar>
      </w:tblPr>
      <w:tblGrid>
        <w:gridCol w:w="1350"/>
        <w:gridCol w:w="2655"/>
        <w:gridCol w:w="2655"/>
      </w:tblGrid>
      <w:tr>
        <w:trPr>
          <w:tblHeader w:val="true"/>
        </w:trPr>
        <w:tc>
          <w:tcPr>
            <w:tcW w:w="1350" w:type="dxa"/>
            <w:tcBorders>
              <w:top w:val="single" w:sz="4" w:space="0" w:color="000000"/>
              <w:start w:val="single" w:sz="4" w:space="0" w:color="000000"/>
              <w:bottom w:val="single" w:sz="4" w:space="0" w:color="000000"/>
            </w:tcBorders>
            <w:shd w:fill="FFFF00" w:val="clear"/>
          </w:tcPr>
          <w:p>
            <w:pPr>
              <w:pStyle w:val="TableBody"/>
              <w:keepNext w:val="true"/>
              <w:snapToGrid w:val="false"/>
              <w:rPr>
                <w:b/>
                <w:sz w:val="18"/>
              </w:rPr>
            </w:pPr>
            <w:r>
              <w:rPr>
                <w:b/>
                <w:sz w:val="18"/>
              </w:rPr>
            </w:r>
          </w:p>
        </w:tc>
        <w:tc>
          <w:tcPr>
            <w:tcW w:w="2655" w:type="dxa"/>
            <w:tcBorders>
              <w:top w:val="single" w:sz="4" w:space="0" w:color="000000"/>
              <w:bottom w:val="single" w:sz="4" w:space="0" w:color="000000"/>
            </w:tcBorders>
            <w:shd w:fill="FFFF00" w:val="clear"/>
          </w:tcPr>
          <w:p>
            <w:pPr>
              <w:pStyle w:val="TableHead"/>
              <w:pBdr>
                <w:bottom w:val="nil"/>
              </w:pBdr>
              <w:rPr>
                <w:sz w:val="18"/>
              </w:rPr>
            </w:pPr>
            <w:r>
              <w:rPr>
                <w:sz w:val="18"/>
              </w:rPr>
              <w:t>Compagás</w:t>
            </w:r>
          </w:p>
        </w:tc>
        <w:tc>
          <w:tcPr>
            <w:tcW w:w="2655" w:type="dxa"/>
            <w:tcBorders>
              <w:top w:val="single" w:sz="4" w:space="0" w:color="000000"/>
              <w:bottom w:val="single" w:sz="4" w:space="0" w:color="000000"/>
              <w:end w:val="single" w:sz="4" w:space="0" w:color="000000"/>
            </w:tcBorders>
            <w:shd w:fill="FFFF00" w:val="clear"/>
          </w:tcPr>
          <w:p>
            <w:pPr>
              <w:pStyle w:val="TableHead"/>
              <w:pBdr>
                <w:bottom w:val="nil"/>
              </w:pBdr>
              <w:rPr>
                <w:sz w:val="18"/>
              </w:rPr>
            </w:pPr>
            <w:r>
              <w:rPr>
                <w:sz w:val="18"/>
              </w:rPr>
              <w:t>SCGás</w:t>
            </w:r>
          </w:p>
        </w:tc>
      </w:tr>
      <w:tr>
        <w:trPr/>
        <w:tc>
          <w:tcPr>
            <w:tcW w:w="1350" w:type="dxa"/>
            <w:tcBorders>
              <w:start w:val="single" w:sz="4" w:space="0" w:color="000000"/>
            </w:tcBorders>
          </w:tcPr>
          <w:p>
            <w:pPr>
              <w:pStyle w:val="TableSpacer"/>
              <w:keepNext w:val="true"/>
              <w:snapToGrid w:val="false"/>
              <w:rPr>
                <w:b/>
                <w:sz w:val="18"/>
              </w:rPr>
            </w:pPr>
            <w:r>
              <w:rPr>
                <w:b/>
                <w:sz w:val="18"/>
              </w:rPr>
            </w:r>
          </w:p>
        </w:tc>
        <w:tc>
          <w:tcPr>
            <w:tcW w:w="2655" w:type="dxa"/>
            <w:tcBorders/>
          </w:tcPr>
          <w:p>
            <w:pPr>
              <w:pStyle w:val="TableSpacer"/>
              <w:keepNext w:val="true"/>
              <w:snapToGrid w:val="false"/>
              <w:rPr>
                <w:sz w:val="18"/>
              </w:rPr>
            </w:pPr>
            <w:r>
              <w:rPr>
                <w:sz w:val="18"/>
              </w:rPr>
            </w:r>
          </w:p>
        </w:tc>
        <w:tc>
          <w:tcPr>
            <w:tcW w:w="2655" w:type="dxa"/>
            <w:tcBorders>
              <w:end w:val="single" w:sz="4" w:space="0" w:color="000000"/>
            </w:tcBorders>
          </w:tcPr>
          <w:p>
            <w:pPr>
              <w:pStyle w:val="TableSpacer"/>
              <w:keepNext w:val="true"/>
              <w:snapToGrid w:val="false"/>
              <w:rPr>
                <w:sz w:val="18"/>
              </w:rPr>
            </w:pPr>
            <w:r>
              <w:rPr>
                <w:sz w:val="18"/>
              </w:rPr>
            </w:r>
          </w:p>
        </w:tc>
      </w:tr>
      <w:tr>
        <w:trPr/>
        <w:tc>
          <w:tcPr>
            <w:tcW w:w="1350" w:type="dxa"/>
            <w:tcBorders>
              <w:start w:val="single" w:sz="4" w:space="0" w:color="000000"/>
            </w:tcBorders>
          </w:tcPr>
          <w:p>
            <w:pPr>
              <w:pStyle w:val="TableBody"/>
              <w:keepNext w:val="true"/>
              <w:jc w:val="both"/>
              <w:rPr>
                <w:sz w:val="18"/>
              </w:rPr>
            </w:pPr>
            <w:r>
              <w:rPr>
                <w:sz w:val="18"/>
              </w:rPr>
              <w:t>Term</w:t>
            </w:r>
          </w:p>
        </w:tc>
        <w:tc>
          <w:tcPr>
            <w:tcW w:w="2655" w:type="dxa"/>
            <w:tcBorders/>
          </w:tcPr>
          <w:p>
            <w:pPr>
              <w:pStyle w:val="TableBody"/>
              <w:keepNext w:val="true"/>
              <w:jc w:val="both"/>
              <w:rPr>
                <w:sz w:val="18"/>
              </w:rPr>
            </w:pPr>
            <w:r>
              <w:rPr>
                <w:sz w:val="18"/>
              </w:rPr>
              <w:t>20 yrs., extend if mutually agreed</w:t>
            </w:r>
          </w:p>
        </w:tc>
        <w:tc>
          <w:tcPr>
            <w:tcW w:w="2655" w:type="dxa"/>
            <w:tcBorders>
              <w:end w:val="single" w:sz="4" w:space="0" w:color="000000"/>
            </w:tcBorders>
          </w:tcPr>
          <w:p>
            <w:pPr>
              <w:pStyle w:val="TableBody"/>
              <w:keepNext w:val="true"/>
              <w:jc w:val="both"/>
              <w:rPr>
                <w:sz w:val="18"/>
              </w:rPr>
            </w:pPr>
            <w:r>
              <w:rPr>
                <w:sz w:val="18"/>
              </w:rPr>
              <w:t>20 yrs., extend if mutually agreed</w:t>
            </w:r>
          </w:p>
        </w:tc>
      </w:tr>
      <w:tr>
        <w:trPr/>
        <w:tc>
          <w:tcPr>
            <w:tcW w:w="1350" w:type="dxa"/>
            <w:tcBorders>
              <w:start w:val="single" w:sz="4" w:space="0" w:color="000000"/>
            </w:tcBorders>
          </w:tcPr>
          <w:p>
            <w:pPr>
              <w:pStyle w:val="TableSpacer"/>
              <w:keepNext w:val="true"/>
              <w:snapToGrid w:val="false"/>
              <w:rPr>
                <w:sz w:val="18"/>
              </w:rPr>
            </w:pPr>
            <w:r>
              <w:rPr>
                <w:sz w:val="18"/>
              </w:rPr>
            </w:r>
          </w:p>
        </w:tc>
        <w:tc>
          <w:tcPr>
            <w:tcW w:w="2655" w:type="dxa"/>
            <w:tcBorders/>
          </w:tcPr>
          <w:p>
            <w:pPr>
              <w:pStyle w:val="TableSpacer"/>
              <w:keepNext w:val="true"/>
              <w:snapToGrid w:val="false"/>
              <w:rPr>
                <w:sz w:val="18"/>
              </w:rPr>
            </w:pPr>
            <w:r>
              <w:rPr>
                <w:sz w:val="18"/>
              </w:rPr>
            </w:r>
          </w:p>
        </w:tc>
        <w:tc>
          <w:tcPr>
            <w:tcW w:w="2655" w:type="dxa"/>
            <w:tcBorders>
              <w:end w:val="single" w:sz="4" w:space="0" w:color="000000"/>
            </w:tcBorders>
          </w:tcPr>
          <w:p>
            <w:pPr>
              <w:pStyle w:val="TableSpacer"/>
              <w:keepNext w:val="true"/>
              <w:snapToGrid w:val="false"/>
              <w:rPr>
                <w:sz w:val="18"/>
              </w:rPr>
            </w:pPr>
            <w:r>
              <w:rPr>
                <w:sz w:val="18"/>
              </w:rPr>
            </w:r>
          </w:p>
        </w:tc>
      </w:tr>
      <w:tr>
        <w:trPr/>
        <w:tc>
          <w:tcPr>
            <w:tcW w:w="1350" w:type="dxa"/>
            <w:tcBorders>
              <w:start w:val="single" w:sz="4" w:space="0" w:color="000000"/>
            </w:tcBorders>
          </w:tcPr>
          <w:p>
            <w:pPr>
              <w:pStyle w:val="TableBody"/>
              <w:keepNext w:val="true"/>
              <w:jc w:val="both"/>
              <w:rPr>
                <w:sz w:val="18"/>
              </w:rPr>
            </w:pPr>
            <w:r>
              <w:rPr>
                <w:sz w:val="18"/>
              </w:rPr>
              <w:t>Quantity</w:t>
            </w:r>
          </w:p>
        </w:tc>
        <w:tc>
          <w:tcPr>
            <w:tcW w:w="2655" w:type="dxa"/>
            <w:tcBorders/>
          </w:tcPr>
          <w:p>
            <w:pPr>
              <w:pStyle w:val="TableBody"/>
              <w:keepNext w:val="true"/>
              <w:jc w:val="both"/>
              <w:rPr>
                <w:sz w:val="18"/>
              </w:rPr>
            </w:pPr>
            <w:r>
              <w:rPr>
                <w:sz w:val="18"/>
              </w:rPr>
              <w:t>Contractual Daily Quantity (CDQ)</w:t>
            </w:r>
          </w:p>
          <w:p>
            <w:pPr>
              <w:pStyle w:val="TableBody"/>
              <w:keepNext w:val="true"/>
              <w:tabs>
                <w:tab w:val="clear" w:pos="720"/>
                <w:tab w:val="left" w:pos="432" w:leader="none"/>
                <w:tab w:val="left" w:pos="1062" w:leader="none"/>
                <w:tab w:val="right" w:pos="1692" w:leader="none"/>
              </w:tabs>
              <w:jc w:val="both"/>
              <w:rPr>
                <w:sz w:val="18"/>
              </w:rPr>
            </w:pPr>
            <w:r>
              <w:rPr>
                <w:sz w:val="18"/>
              </w:rPr>
              <w:tab/>
              <w:t>Year</w:t>
              <w:tab/>
              <w:t>Quant. ('000 m3/day)</w:t>
            </w:r>
          </w:p>
          <w:p>
            <w:pPr>
              <w:pStyle w:val="TableBody"/>
              <w:keepNext w:val="true"/>
              <w:tabs>
                <w:tab w:val="clear" w:pos="720"/>
                <w:tab w:val="left" w:pos="432" w:leader="none"/>
                <w:tab w:val="left" w:pos="1062" w:leader="none"/>
                <w:tab w:val="right" w:pos="1692" w:leader="none"/>
              </w:tabs>
              <w:jc w:val="both"/>
              <w:rPr>
                <w:sz w:val="18"/>
              </w:rPr>
            </w:pPr>
            <w:r>
              <w:rPr>
                <w:sz w:val="18"/>
              </w:rPr>
              <w:tab/>
              <w:t>1</w:t>
              <w:tab/>
              <w:tab/>
              <w:t>1,000</w:t>
            </w:r>
          </w:p>
          <w:p>
            <w:pPr>
              <w:pStyle w:val="TableBody"/>
              <w:keepNext w:val="true"/>
              <w:tabs>
                <w:tab w:val="clear" w:pos="720"/>
                <w:tab w:val="left" w:pos="432" w:leader="none"/>
                <w:tab w:val="left" w:pos="1062" w:leader="none"/>
                <w:tab w:val="right" w:pos="1692" w:leader="none"/>
              </w:tabs>
              <w:jc w:val="both"/>
              <w:rPr>
                <w:sz w:val="18"/>
              </w:rPr>
            </w:pPr>
            <w:r>
              <w:rPr>
                <w:sz w:val="18"/>
              </w:rPr>
              <w:tab/>
              <w:t>2</w:t>
              <w:tab/>
              <w:tab/>
              <w:t>1,100</w:t>
            </w:r>
          </w:p>
          <w:p>
            <w:pPr>
              <w:pStyle w:val="TableBody"/>
              <w:keepNext w:val="true"/>
              <w:tabs>
                <w:tab w:val="clear" w:pos="720"/>
                <w:tab w:val="left" w:pos="432" w:leader="none"/>
                <w:tab w:val="left" w:pos="1062" w:leader="none"/>
                <w:tab w:val="right" w:pos="1692" w:leader="none"/>
              </w:tabs>
              <w:jc w:val="both"/>
              <w:rPr>
                <w:sz w:val="18"/>
              </w:rPr>
            </w:pPr>
            <w:r>
              <w:rPr>
                <w:sz w:val="18"/>
              </w:rPr>
              <w:tab/>
              <w:t>3</w:t>
              <w:tab/>
              <w:tab/>
              <w:t>1,200</w:t>
            </w:r>
          </w:p>
          <w:p>
            <w:pPr>
              <w:pStyle w:val="TableBody"/>
              <w:keepNext w:val="true"/>
              <w:tabs>
                <w:tab w:val="clear" w:pos="720"/>
                <w:tab w:val="left" w:pos="432" w:leader="none"/>
                <w:tab w:val="left" w:pos="1062" w:leader="none"/>
                <w:tab w:val="right" w:pos="1692" w:leader="none"/>
              </w:tabs>
              <w:jc w:val="both"/>
              <w:rPr>
                <w:sz w:val="18"/>
              </w:rPr>
            </w:pPr>
            <w:r>
              <w:rPr>
                <w:sz w:val="18"/>
              </w:rPr>
              <w:tab/>
              <w:t>4</w:t>
              <w:tab/>
              <w:tab/>
              <w:t>1,300</w:t>
            </w:r>
          </w:p>
          <w:p>
            <w:pPr>
              <w:pStyle w:val="TableBody"/>
              <w:keepNext w:val="true"/>
              <w:tabs>
                <w:tab w:val="clear" w:pos="720"/>
                <w:tab w:val="left" w:pos="432" w:leader="none"/>
                <w:tab w:val="left" w:pos="1062" w:leader="none"/>
                <w:tab w:val="right" w:pos="1692" w:leader="none"/>
              </w:tabs>
              <w:jc w:val="both"/>
              <w:rPr>
                <w:sz w:val="18"/>
              </w:rPr>
            </w:pPr>
            <w:r>
              <w:rPr>
                <w:sz w:val="18"/>
              </w:rPr>
              <w:tab/>
              <w:t>5</w:t>
              <w:tab/>
              <w:tab/>
              <w:t>1,450</w:t>
            </w:r>
          </w:p>
          <w:p>
            <w:pPr>
              <w:pStyle w:val="TableBody"/>
              <w:keepNext w:val="true"/>
              <w:tabs>
                <w:tab w:val="clear" w:pos="720"/>
                <w:tab w:val="left" w:pos="432" w:leader="none"/>
                <w:tab w:val="left" w:pos="1062" w:leader="none"/>
                <w:tab w:val="right" w:pos="1692" w:leader="none"/>
              </w:tabs>
              <w:jc w:val="both"/>
              <w:rPr>
                <w:sz w:val="18"/>
              </w:rPr>
            </w:pPr>
            <w:r>
              <w:rPr>
                <w:sz w:val="18"/>
              </w:rPr>
              <w:tab/>
              <w:t>6</w:t>
              <w:tab/>
              <w:tab/>
              <w:t>1,600</w:t>
            </w:r>
          </w:p>
          <w:p>
            <w:pPr>
              <w:pStyle w:val="TableBody"/>
              <w:keepNext w:val="true"/>
              <w:tabs>
                <w:tab w:val="clear" w:pos="720"/>
                <w:tab w:val="left" w:pos="432" w:leader="none"/>
                <w:tab w:val="left" w:pos="1062" w:leader="none"/>
                <w:tab w:val="right" w:pos="1692" w:leader="none"/>
              </w:tabs>
              <w:jc w:val="both"/>
              <w:rPr>
                <w:sz w:val="18"/>
              </w:rPr>
            </w:pPr>
            <w:r>
              <w:rPr>
                <w:sz w:val="18"/>
              </w:rPr>
              <w:tab/>
              <w:t>7</w:t>
              <w:tab/>
              <w:tab/>
              <w:t>1,750</w:t>
            </w:r>
          </w:p>
          <w:p>
            <w:pPr>
              <w:pStyle w:val="TableBody"/>
              <w:keepNext w:val="true"/>
              <w:tabs>
                <w:tab w:val="clear" w:pos="720"/>
                <w:tab w:val="left" w:pos="432" w:leader="none"/>
                <w:tab w:val="left" w:pos="1062" w:leader="none"/>
                <w:tab w:val="right" w:pos="1692" w:leader="none"/>
              </w:tabs>
              <w:jc w:val="both"/>
              <w:rPr>
                <w:sz w:val="18"/>
              </w:rPr>
            </w:pPr>
            <w:r>
              <w:rPr>
                <w:sz w:val="18"/>
              </w:rPr>
              <w:tab/>
              <w:t>8 to 20</w:t>
              <w:tab/>
              <w:tab/>
              <w:t>1,900</w:t>
            </w:r>
          </w:p>
          <w:p>
            <w:pPr>
              <w:pStyle w:val="TableBody"/>
              <w:keepNext w:val="true"/>
              <w:tabs>
                <w:tab w:val="clear" w:pos="720"/>
                <w:tab w:val="left" w:pos="432" w:leader="none"/>
                <w:tab w:val="left" w:pos="1062" w:leader="none"/>
                <w:tab w:val="right" w:pos="1692" w:leader="none"/>
              </w:tabs>
              <w:jc w:val="both"/>
              <w:rPr>
                <w:sz w:val="18"/>
              </w:rPr>
            </w:pPr>
            <w:r>
              <w:rPr>
                <w:sz w:val="18"/>
              </w:rPr>
            </w:r>
          </w:p>
          <w:p>
            <w:pPr>
              <w:pStyle w:val="TableBody"/>
              <w:keepNext w:val="true"/>
              <w:jc w:val="both"/>
              <w:rPr>
                <w:sz w:val="18"/>
              </w:rPr>
            </w:pPr>
            <w:r>
              <w:rPr>
                <w:sz w:val="18"/>
              </w:rPr>
              <w:t>*Initial delivery not after 12/20/99</w:t>
            </w:r>
          </w:p>
        </w:tc>
        <w:tc>
          <w:tcPr>
            <w:tcW w:w="2655" w:type="dxa"/>
            <w:tcBorders>
              <w:end w:val="single" w:sz="4" w:space="0" w:color="000000"/>
            </w:tcBorders>
          </w:tcPr>
          <w:p>
            <w:pPr>
              <w:pStyle w:val="TableBody"/>
              <w:keepNext w:val="true"/>
              <w:jc w:val="both"/>
              <w:rPr>
                <w:sz w:val="18"/>
              </w:rPr>
            </w:pPr>
            <w:r>
              <w:rPr>
                <w:sz w:val="18"/>
              </w:rPr>
              <w:t>Contractual Daily Quantity (CDQ)</w:t>
            </w:r>
          </w:p>
          <w:p>
            <w:pPr>
              <w:pStyle w:val="TableBody"/>
              <w:keepNext w:val="true"/>
              <w:tabs>
                <w:tab w:val="clear" w:pos="720"/>
                <w:tab w:val="left" w:pos="432" w:leader="none"/>
                <w:tab w:val="left" w:pos="1062" w:leader="none"/>
                <w:tab w:val="right" w:pos="1692" w:leader="none"/>
              </w:tabs>
              <w:jc w:val="both"/>
              <w:rPr>
                <w:sz w:val="18"/>
              </w:rPr>
            </w:pPr>
            <w:r>
              <w:rPr>
                <w:sz w:val="18"/>
              </w:rPr>
              <w:tab/>
              <w:t>Year</w:t>
              <w:tab/>
              <w:t>Quant. ('000 m3/day)</w:t>
            </w:r>
          </w:p>
          <w:p>
            <w:pPr>
              <w:pStyle w:val="TableBody"/>
              <w:keepNext w:val="true"/>
              <w:tabs>
                <w:tab w:val="clear" w:pos="720"/>
                <w:tab w:val="left" w:pos="432" w:leader="none"/>
                <w:tab w:val="left" w:pos="1062" w:leader="none"/>
                <w:tab w:val="right" w:pos="1692" w:leader="none"/>
              </w:tabs>
              <w:jc w:val="both"/>
              <w:rPr>
                <w:sz w:val="18"/>
              </w:rPr>
            </w:pPr>
            <w:r>
              <w:rPr>
                <w:sz w:val="18"/>
              </w:rPr>
              <w:tab/>
              <w:t>1</w:t>
              <w:tab/>
              <w:tab/>
              <w:t>1,800</w:t>
            </w:r>
          </w:p>
          <w:p>
            <w:pPr>
              <w:pStyle w:val="TableBody"/>
              <w:keepNext w:val="true"/>
              <w:tabs>
                <w:tab w:val="clear" w:pos="720"/>
                <w:tab w:val="left" w:pos="432" w:leader="none"/>
                <w:tab w:val="left" w:pos="1062" w:leader="none"/>
                <w:tab w:val="right" w:pos="1692" w:leader="none"/>
              </w:tabs>
              <w:jc w:val="both"/>
              <w:rPr>
                <w:sz w:val="18"/>
              </w:rPr>
            </w:pPr>
            <w:r>
              <w:rPr>
                <w:sz w:val="18"/>
              </w:rPr>
              <w:tab/>
              <w:t>2</w:t>
              <w:tab/>
              <w:tab/>
              <w:t>1,850</w:t>
            </w:r>
          </w:p>
          <w:p>
            <w:pPr>
              <w:pStyle w:val="TableBody"/>
              <w:keepNext w:val="true"/>
              <w:tabs>
                <w:tab w:val="clear" w:pos="720"/>
                <w:tab w:val="left" w:pos="432" w:leader="none"/>
                <w:tab w:val="left" w:pos="1062" w:leader="none"/>
                <w:tab w:val="right" w:pos="1692" w:leader="none"/>
              </w:tabs>
              <w:jc w:val="both"/>
              <w:rPr>
                <w:sz w:val="18"/>
              </w:rPr>
            </w:pPr>
            <w:r>
              <w:rPr>
                <w:sz w:val="18"/>
              </w:rPr>
              <w:tab/>
              <w:t>3</w:t>
              <w:tab/>
              <w:tab/>
              <w:t>1,900</w:t>
            </w:r>
          </w:p>
          <w:p>
            <w:pPr>
              <w:pStyle w:val="TableBody"/>
              <w:keepNext w:val="true"/>
              <w:tabs>
                <w:tab w:val="clear" w:pos="720"/>
                <w:tab w:val="left" w:pos="432" w:leader="none"/>
                <w:tab w:val="left" w:pos="1062" w:leader="none"/>
                <w:tab w:val="right" w:pos="1692" w:leader="none"/>
              </w:tabs>
              <w:jc w:val="both"/>
              <w:rPr>
                <w:sz w:val="18"/>
              </w:rPr>
            </w:pPr>
            <w:r>
              <w:rPr>
                <w:sz w:val="18"/>
              </w:rPr>
              <w:tab/>
              <w:t>4</w:t>
              <w:tab/>
              <w:tab/>
              <w:t>2,000</w:t>
            </w:r>
          </w:p>
          <w:p>
            <w:pPr>
              <w:pStyle w:val="TableBody"/>
              <w:keepNext w:val="true"/>
              <w:tabs>
                <w:tab w:val="clear" w:pos="720"/>
                <w:tab w:val="left" w:pos="432" w:leader="none"/>
                <w:tab w:val="left" w:pos="1062" w:leader="none"/>
                <w:tab w:val="right" w:pos="1692" w:leader="none"/>
              </w:tabs>
              <w:jc w:val="both"/>
              <w:rPr>
                <w:sz w:val="18"/>
              </w:rPr>
            </w:pPr>
            <w:r>
              <w:rPr>
                <w:sz w:val="18"/>
              </w:rPr>
              <w:tab/>
              <w:t>5</w:t>
              <w:tab/>
              <w:tab/>
              <w:t>2,050</w:t>
            </w:r>
          </w:p>
          <w:p>
            <w:pPr>
              <w:pStyle w:val="TableBody"/>
              <w:keepNext w:val="true"/>
              <w:tabs>
                <w:tab w:val="clear" w:pos="720"/>
                <w:tab w:val="left" w:pos="432" w:leader="none"/>
                <w:tab w:val="left" w:pos="1062" w:leader="none"/>
                <w:tab w:val="right" w:pos="1692" w:leader="none"/>
              </w:tabs>
              <w:jc w:val="both"/>
              <w:rPr>
                <w:sz w:val="18"/>
              </w:rPr>
            </w:pPr>
            <w:r>
              <w:rPr>
                <w:sz w:val="18"/>
              </w:rPr>
              <w:tab/>
              <w:t>6</w:t>
              <w:tab/>
              <w:tab/>
              <w:t>2,150</w:t>
            </w:r>
          </w:p>
          <w:p>
            <w:pPr>
              <w:pStyle w:val="TableBody"/>
              <w:keepNext w:val="true"/>
              <w:tabs>
                <w:tab w:val="clear" w:pos="720"/>
                <w:tab w:val="left" w:pos="432" w:leader="none"/>
                <w:tab w:val="left" w:pos="1062" w:leader="none"/>
                <w:tab w:val="right" w:pos="1692" w:leader="none"/>
              </w:tabs>
              <w:jc w:val="both"/>
              <w:rPr>
                <w:sz w:val="18"/>
              </w:rPr>
            </w:pPr>
            <w:r>
              <w:rPr>
                <w:sz w:val="18"/>
              </w:rPr>
              <w:tab/>
              <w:t>7</w:t>
              <w:tab/>
              <w:tab/>
              <w:t>2,200</w:t>
            </w:r>
          </w:p>
          <w:p>
            <w:pPr>
              <w:pStyle w:val="TableBody"/>
              <w:keepNext w:val="true"/>
              <w:tabs>
                <w:tab w:val="clear" w:pos="720"/>
                <w:tab w:val="left" w:pos="432" w:leader="none"/>
                <w:tab w:val="left" w:pos="1062" w:leader="none"/>
                <w:tab w:val="right" w:pos="1692" w:leader="none"/>
              </w:tabs>
              <w:jc w:val="both"/>
              <w:rPr>
                <w:sz w:val="18"/>
              </w:rPr>
            </w:pPr>
            <w:r>
              <w:rPr>
                <w:sz w:val="18"/>
              </w:rPr>
              <w:tab/>
              <w:t>8 to 20</w:t>
              <w:tab/>
              <w:tab/>
              <w:t>2,300</w:t>
            </w:r>
          </w:p>
          <w:p>
            <w:pPr>
              <w:pStyle w:val="TableBody"/>
              <w:keepNext w:val="true"/>
              <w:tabs>
                <w:tab w:val="clear" w:pos="720"/>
                <w:tab w:val="left" w:pos="432" w:leader="none"/>
                <w:tab w:val="left" w:pos="1062" w:leader="none"/>
                <w:tab w:val="right" w:pos="1692" w:leader="none"/>
              </w:tabs>
              <w:jc w:val="both"/>
              <w:rPr>
                <w:sz w:val="18"/>
              </w:rPr>
            </w:pPr>
            <w:r>
              <w:rPr>
                <w:sz w:val="18"/>
              </w:rPr>
            </w:r>
          </w:p>
          <w:p>
            <w:pPr>
              <w:pStyle w:val="TableBody"/>
              <w:keepNext w:val="true"/>
              <w:jc w:val="both"/>
              <w:rPr>
                <w:sz w:val="18"/>
              </w:rPr>
            </w:pPr>
            <w:r>
              <w:rPr>
                <w:sz w:val="18"/>
              </w:rPr>
              <w:t>*Initial delivery not after 12/30/99</w:t>
            </w:r>
          </w:p>
        </w:tc>
      </w:tr>
      <w:tr>
        <w:trPr/>
        <w:tc>
          <w:tcPr>
            <w:tcW w:w="1350" w:type="dxa"/>
            <w:tcBorders>
              <w:start w:val="single" w:sz="4" w:space="0" w:color="000000"/>
              <w:bottom w:val="single" w:sz="4" w:space="0" w:color="000000"/>
            </w:tcBorders>
          </w:tcPr>
          <w:p>
            <w:pPr>
              <w:pStyle w:val="TableBody"/>
              <w:keepNext w:val="true"/>
              <w:snapToGrid w:val="false"/>
              <w:rPr>
                <w:sz w:val="18"/>
              </w:rPr>
            </w:pPr>
            <w:r>
              <w:rPr>
                <w:sz w:val="18"/>
              </w:rPr>
            </w:r>
          </w:p>
        </w:tc>
        <w:tc>
          <w:tcPr>
            <w:tcW w:w="2655" w:type="dxa"/>
            <w:tcBorders>
              <w:bottom w:val="single" w:sz="4" w:space="0" w:color="000000"/>
            </w:tcBorders>
          </w:tcPr>
          <w:p>
            <w:pPr>
              <w:pStyle w:val="TableBody"/>
              <w:keepNext w:val="true"/>
              <w:snapToGrid w:val="false"/>
              <w:rPr/>
            </w:pPr>
            <w:r>
              <w:rPr/>
            </w:r>
          </w:p>
        </w:tc>
        <w:tc>
          <w:tcPr>
            <w:tcW w:w="2655" w:type="dxa"/>
            <w:tcBorders>
              <w:bottom w:val="single" w:sz="4" w:space="0" w:color="000000"/>
              <w:end w:val="single" w:sz="4" w:space="0" w:color="000000"/>
            </w:tcBorders>
          </w:tcPr>
          <w:p>
            <w:pPr>
              <w:pStyle w:val="TableBody"/>
              <w:keepNext w:val="true"/>
              <w:snapToGrid w:val="false"/>
              <w:rPr/>
            </w:pPr>
            <w:r>
              <w:rPr/>
            </w:r>
          </w:p>
        </w:tc>
      </w:tr>
    </w:tbl>
    <w:p>
      <w:pPr>
        <w:pStyle w:val="BLKmed1st5"/>
        <w:numPr>
          <w:ilvl w:val="0"/>
          <w:numId w:val="0"/>
        </w:numPr>
        <w:outlineLvl w:val="0"/>
        <w:rPr>
          <w:rStyle w:val="boldund"/>
        </w:rPr>
      </w:pPr>
      <w:r>
        <w:rPr/>
      </w:r>
    </w:p>
    <w:p>
      <w:pPr>
        <w:pStyle w:val="Heading3"/>
        <w:ind w:hanging="0" w:start="0"/>
        <w:rPr/>
      </w:pPr>
      <w:r>
        <w:rPr/>
        <w:t>Ownership and Governance</w:t>
      </w:r>
    </w:p>
    <w:p>
      <w:pPr>
        <w:pStyle w:val="Heading4"/>
        <w:ind w:hanging="0" w:start="0"/>
        <w:rPr/>
      </w:pPr>
      <w:r>
        <w:rPr/>
        <w:t>Ownership Structure</w:t>
      </w:r>
    </w:p>
    <w:p>
      <w:pPr>
        <w:pStyle w:val="Normal"/>
        <w:rPr>
          <w:b/>
          <w:u w:val="single"/>
        </w:rPr>
      </w:pPr>
      <w:r>
        <w:rPr>
          <w:b/>
          <w:u w:val="single"/>
        </w:rPr>
        <w:t>Gaspart</w:t>
      </w:r>
    </w:p>
    <w:p>
      <w:pPr>
        <w:pStyle w:val="Normal"/>
        <w:rPr/>
      </w:pPr>
      <w:r>
        <w:rPr/>
        <w:t>Gaspart, a Brazilian “sociedade anonima,”, was incorporated in September 26, 1990.  Enron acquired 100% of the equity and management control of the company in November 1997.  [According to the Enron Capital Management Deal Approval Sheet, dated December 4, 1997, Enron was to pay $152 million for a 100% share of Gaspart.  The holdings of Luiz Monteiro and CS Participaceos were to be transferred to Enron(Cayman) in order to avoid any preferential purchase rights held by any Brazilian state or Petrobas.  However, the current draft diagram of the ownership structure, as well as the IM, indicates that Enron through its subsidiary Global Petroleum and Gas Industry Ltd. owns 100% of Gaspart.]  In turn, Gaspart owns an interest in the seven LDCs described below.</w:t>
      </w:r>
    </w:p>
    <w:p>
      <w:pPr>
        <w:pStyle w:val="Normal"/>
        <w:rPr/>
      </w:pPr>
      <w:r>
        <w:rPr/>
        <w:t>[As of May 8, 1997, Gaspart's share capital was R$11,077,284 represented by 20,010,000 common shares, of which 75% are owned by Global Petroleum and Gas Industry Ltd, 17% by CS Participacoes and 8% by Luiz Monterio.  [However, such ownership structure does not correspond to the description contained in the IM or in the draft organizational chart.  According to a Certificate of Registration of Foreign Investment, dated as of August 14, 1997, Global Petroleum &amp; Gas Industry Ltd. invested in Reais an amount equal to US$18,260,000]</w:t>
      </w:r>
      <w:r>
        <w:rPr>
          <w:rStyle w:val="FootnoteCharacters"/>
          <w:rStyle w:val="FootnoteReference"/>
        </w:rPr>
        <w:footnoteReference w:id="2"/>
      </w:r>
    </w:p>
    <w:p>
      <w:pPr>
        <w:pStyle w:val="Normal"/>
        <w:rPr/>
      </w:pPr>
      <w:r>
        <w:rPr/>
        <w:t>All owners of common shares are entitled to participate in the General Assembly of Shareholders.  Most corporate decisions, including the amendment of the bylaws and the appointment of officers and directors require the approval of a simple majority of such shareholders.  However, any changes in the dividend distribution policy require a supermajority of 85% of the common shareholders.</w:t>
      </w:r>
    </w:p>
    <w:p>
      <w:pPr>
        <w:pStyle w:val="BLKmed1st1"/>
        <w:keepNext w:val="true"/>
        <w:keepLines/>
        <w:widowControl w:val="false"/>
        <w:rPr/>
      </w:pPr>
      <w:r>
        <w:rPr/>
        <w:t>The ownership structure of Gaspart is as follows:</w:t>
      </w:r>
    </w:p>
    <w:p>
      <w:pPr>
        <w:pStyle w:val="Normal"/>
        <w:keepNext w:val="true"/>
        <w:keepLines/>
        <w:widowControl w:val="false"/>
        <w:rPr/>
      </w:pPr>
      <w:bookmarkStart w:id="45" w:name="_1015421040"/>
      <w:bookmarkStart w:id="46" w:name="_1015420412"/>
      <w:bookmarkStart w:id="47" w:name="_1015370810"/>
      <w:bookmarkStart w:id="48" w:name="_1015370701"/>
      <w:bookmarkStart w:id="49" w:name="_1015370015"/>
      <w:bookmarkStart w:id="50" w:name="_1015369937"/>
      <w:bookmarkStart w:id="51" w:name="_1015369781"/>
      <w:bookmarkStart w:id="52" w:name="_1015369764"/>
      <w:bookmarkStart w:id="53" w:name="_1015369573"/>
      <w:bookmarkEnd w:id="45"/>
      <w:bookmarkEnd w:id="46"/>
      <w:bookmarkEnd w:id="47"/>
      <w:bookmarkEnd w:id="48"/>
      <w:bookmarkEnd w:id="49"/>
      <w:bookmarkEnd w:id="50"/>
      <w:bookmarkEnd w:id="51"/>
      <w:bookmarkEnd w:id="52"/>
      <w:bookmarkEnd w:id="53"/>
      <w:r>
        <w:rPr/>
        <w:object w:dxaOrig="6220" w:dyaOrig="5184">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11pt;height:259.2pt" filled="f" o:ole="">
            <v:imagedata r:id="rId10" o:title=""/>
          </v:shape>
          <o:OLEObject Type="Embed" ProgID="" ShapeID="ole_rId9" DrawAspect="Content" ObjectID="_258375983" r:id="rId9"/>
        </w:object>
      </w:r>
    </w:p>
    <w:p>
      <w:pPr>
        <w:pStyle w:val="BLKmed1st0"/>
        <w:keepNext w:val="true"/>
        <w:spacing w:before="0" w:after="220"/>
        <w:rPr>
          <w:b/>
          <w:u w:val="single"/>
        </w:rPr>
      </w:pPr>
      <w:r>
        <w:rPr>
          <w:b/>
          <w:u w:val="single"/>
        </w:rPr>
        <w:t>Compagas</w:t>
      </w:r>
    </w:p>
    <w:p>
      <w:pPr>
        <w:pStyle w:val="Normal"/>
        <w:rPr/>
      </w:pPr>
      <w:r>
        <w:rPr/>
        <w:t>Compagas, a Brazilian “sociedada de economia mista,” was incorporated on July 6, 1994 to distribute natural gas exclusively within the Brazilian state of Parana.  The subscribed capital of Compagas is R$240,000,000 divided into 20,000,000 preferred shares and 10,000,000 common shares.  Dutopar Participaceos Ltda., of which Gaspart owns a 98.5% share, owns 24.5% of both the common and the preferred shares of Compagas.  Petrobas owns 24.5% of the common and preferred shares, and Companhia Paranaense de Enrgia (“Copel”) owns 51% of the common and preferred shares.</w:t>
      </w:r>
    </w:p>
    <w:p>
      <w:pPr>
        <w:pStyle w:val="Normal"/>
        <w:keepNext w:val="true"/>
        <w:rPr>
          <w:b/>
          <w:u w:val="single"/>
        </w:rPr>
      </w:pPr>
      <w:r>
        <w:rPr>
          <w:b/>
          <w:u w:val="single"/>
        </w:rPr>
        <w:t>Other Gaspart LDCs:</w:t>
      </w:r>
    </w:p>
    <w:p>
      <w:pPr>
        <w:pStyle w:val="Normal"/>
        <w:rPr/>
      </w:pPr>
      <w:r>
        <w:rPr/>
        <w:t>Other than Gaspart, the remaining LDCs have identical ownership structures.</w:t>
      </w:r>
    </w:p>
    <w:p>
      <w:pPr>
        <w:pStyle w:val="Normal"/>
        <w:rPr/>
      </w:pPr>
      <w:r>
        <w:rPr/>
        <w:t>Each such LDC is a Brazilian “sociedade de economia mista” or mixed economy corporation, was incorporated to distribute natural gas exclusively within the Brazilian state of its incorporation.  The subscribed capital of each LDC is R$240,000,000 divided into 20,000,000 preferred shares and 10,000,000 common shares.  Gaspart and Petrobras each subscribed to 42.% of the capital, and each owns 24.5% of the common shares and 50% of the preferred shares.  The relevant state subscribed to 17% of the capital and owns 51% of the common stock and the state holds no preferred shares.</w:t>
      </w:r>
    </w:p>
    <w:p>
      <w:pPr>
        <w:pStyle w:val="BLKmed1st1"/>
        <w:keepNext w:val="true"/>
        <w:keepLines/>
        <w:rPr/>
      </w:pPr>
      <w:r>
        <w:rPr/>
        <w:t>The voting and equity stakes in the seven gas distribution companies are held by Gaspart, Petrobras and the respective State as follows:</w:t>
      </w:r>
    </w:p>
    <w:tbl>
      <w:tblPr>
        <w:tblW w:w="6685" w:type="dxa"/>
        <w:jc w:val="center"/>
        <w:tblInd w:w="0" w:type="dxa"/>
        <w:tblLayout w:type="fixed"/>
        <w:tblCellMar>
          <w:top w:w="0" w:type="dxa"/>
          <w:start w:w="108" w:type="dxa"/>
          <w:bottom w:w="0" w:type="dxa"/>
          <w:end w:w="108" w:type="dxa"/>
        </w:tblCellMar>
      </w:tblPr>
      <w:tblGrid>
        <w:gridCol w:w="1543"/>
        <w:gridCol w:w="810"/>
        <w:gridCol w:w="990"/>
        <w:gridCol w:w="816"/>
        <w:gridCol w:w="842"/>
        <w:gridCol w:w="952"/>
        <w:gridCol w:w="732"/>
      </w:tblGrid>
      <w:tr>
        <w:trPr>
          <w:tblHeader w:val="true"/>
        </w:trPr>
        <w:tc>
          <w:tcPr>
            <w:tcW w:w="1543" w:type="dxa"/>
            <w:tcBorders>
              <w:top w:val="single" w:sz="4" w:space="0" w:color="000000"/>
              <w:start w:val="single" w:sz="4" w:space="0" w:color="000000"/>
            </w:tcBorders>
            <w:shd w:fill="FFFF00" w:val="clear"/>
            <w:vAlign w:val="bottom"/>
          </w:tcPr>
          <w:p>
            <w:pPr>
              <w:pStyle w:val="TableBody"/>
              <w:keepNext w:val="true"/>
              <w:snapToGrid w:val="false"/>
              <w:rPr>
                <w:sz w:val="18"/>
              </w:rPr>
            </w:pPr>
            <w:r>
              <w:rPr>
                <w:sz w:val="18"/>
              </w:rPr>
            </w:r>
          </w:p>
        </w:tc>
        <w:tc>
          <w:tcPr>
            <w:tcW w:w="2616" w:type="dxa"/>
            <w:gridSpan w:val="3"/>
            <w:tcBorders>
              <w:top w:val="single" w:sz="4" w:space="0" w:color="000000"/>
              <w:bottom w:val="single" w:sz="4" w:space="0" w:color="000000"/>
            </w:tcBorders>
            <w:shd w:fill="FFFF00" w:val="clear"/>
            <w:vAlign w:val="bottom"/>
          </w:tcPr>
          <w:p>
            <w:pPr>
              <w:pStyle w:val="TableHead"/>
              <w:pBdr>
                <w:bottom w:val="nil"/>
              </w:pBdr>
              <w:rPr>
                <w:sz w:val="18"/>
              </w:rPr>
            </w:pPr>
            <w:r>
              <w:rPr>
                <w:sz w:val="18"/>
              </w:rPr>
              <w:t>Voting</w:t>
            </w:r>
          </w:p>
        </w:tc>
        <w:tc>
          <w:tcPr>
            <w:tcW w:w="2526" w:type="dxa"/>
            <w:gridSpan w:val="3"/>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Economics</w:t>
            </w:r>
          </w:p>
        </w:tc>
      </w:tr>
      <w:tr>
        <w:trPr>
          <w:tblHeader w:val="true"/>
        </w:trPr>
        <w:tc>
          <w:tcPr>
            <w:tcW w:w="1543" w:type="dxa"/>
            <w:tcBorders>
              <w:start w:val="single" w:sz="4" w:space="0" w:color="000000"/>
              <w:bottom w:val="single" w:sz="4" w:space="0" w:color="000000"/>
            </w:tcBorders>
            <w:shd w:fill="FFFF00" w:val="clear"/>
            <w:vAlign w:val="bottom"/>
          </w:tcPr>
          <w:p>
            <w:pPr>
              <w:pStyle w:val="TableHead"/>
              <w:pBdr>
                <w:bottom w:val="nil"/>
              </w:pBdr>
              <w:rPr>
                <w:sz w:val="18"/>
              </w:rPr>
            </w:pPr>
            <w:r>
              <w:rPr>
                <w:sz w:val="18"/>
              </w:rPr>
              <w:t>Company</w:t>
            </w:r>
          </w:p>
        </w:tc>
        <w:tc>
          <w:tcPr>
            <w:tcW w:w="810" w:type="dxa"/>
            <w:tcBorders>
              <w:bottom w:val="single" w:sz="4" w:space="0" w:color="000000"/>
            </w:tcBorders>
            <w:shd w:fill="FFFF00" w:val="clear"/>
            <w:vAlign w:val="bottom"/>
          </w:tcPr>
          <w:p>
            <w:pPr>
              <w:pStyle w:val="TableHead"/>
              <w:pBdr>
                <w:bottom w:val="nil"/>
              </w:pBdr>
              <w:rPr>
                <w:sz w:val="18"/>
              </w:rPr>
            </w:pPr>
            <w:r>
              <w:rPr>
                <w:sz w:val="18"/>
              </w:rPr>
              <w:t>Gaspart</w:t>
            </w:r>
          </w:p>
        </w:tc>
        <w:tc>
          <w:tcPr>
            <w:tcW w:w="990" w:type="dxa"/>
            <w:tcBorders>
              <w:bottom w:val="single" w:sz="4" w:space="0" w:color="000000"/>
            </w:tcBorders>
            <w:shd w:fill="FFFF00" w:val="clear"/>
            <w:vAlign w:val="bottom"/>
          </w:tcPr>
          <w:p>
            <w:pPr>
              <w:pStyle w:val="TableHead"/>
              <w:pBdr>
                <w:bottom w:val="nil"/>
              </w:pBdr>
              <w:rPr>
                <w:sz w:val="18"/>
              </w:rPr>
            </w:pPr>
            <w:r>
              <w:rPr>
                <w:sz w:val="18"/>
              </w:rPr>
              <w:t>Petrobras</w:t>
            </w:r>
          </w:p>
        </w:tc>
        <w:tc>
          <w:tcPr>
            <w:tcW w:w="816" w:type="dxa"/>
            <w:tcBorders>
              <w:bottom w:val="single" w:sz="4" w:space="0" w:color="000000"/>
            </w:tcBorders>
            <w:shd w:fill="FFFF00" w:val="clear"/>
            <w:vAlign w:val="bottom"/>
          </w:tcPr>
          <w:p>
            <w:pPr>
              <w:pStyle w:val="TableHead"/>
              <w:pBdr>
                <w:bottom w:val="nil"/>
              </w:pBdr>
              <w:rPr>
                <w:sz w:val="18"/>
              </w:rPr>
            </w:pPr>
            <w:r>
              <w:rPr>
                <w:sz w:val="18"/>
              </w:rPr>
              <w:t>State</w:t>
            </w:r>
          </w:p>
        </w:tc>
        <w:tc>
          <w:tcPr>
            <w:tcW w:w="842" w:type="dxa"/>
            <w:tcBorders>
              <w:bottom w:val="single" w:sz="4" w:space="0" w:color="000000"/>
            </w:tcBorders>
            <w:shd w:fill="FFFF00" w:val="clear"/>
            <w:vAlign w:val="bottom"/>
          </w:tcPr>
          <w:p>
            <w:pPr>
              <w:pStyle w:val="TableHead"/>
              <w:pBdr>
                <w:bottom w:val="nil"/>
              </w:pBdr>
              <w:rPr>
                <w:sz w:val="18"/>
              </w:rPr>
            </w:pPr>
            <w:r>
              <w:rPr>
                <w:sz w:val="18"/>
              </w:rPr>
              <w:t>Gaspart</w:t>
            </w:r>
          </w:p>
        </w:tc>
        <w:tc>
          <w:tcPr>
            <w:tcW w:w="952" w:type="dxa"/>
            <w:tcBorders>
              <w:bottom w:val="single" w:sz="4" w:space="0" w:color="000000"/>
            </w:tcBorders>
            <w:shd w:fill="FFFF00" w:val="clear"/>
            <w:vAlign w:val="bottom"/>
          </w:tcPr>
          <w:p>
            <w:pPr>
              <w:pStyle w:val="TableHead"/>
              <w:pBdr>
                <w:bottom w:val="nil"/>
              </w:pBdr>
              <w:rPr>
                <w:sz w:val="18"/>
              </w:rPr>
            </w:pPr>
            <w:r>
              <w:rPr>
                <w:sz w:val="18"/>
              </w:rPr>
              <w:t>Petrobras</w:t>
            </w:r>
          </w:p>
        </w:tc>
        <w:tc>
          <w:tcPr>
            <w:tcW w:w="732" w:type="dxa"/>
            <w:tcBorders>
              <w:bottom w:val="single" w:sz="4" w:space="0" w:color="000000"/>
              <w:end w:val="single" w:sz="4" w:space="0" w:color="000000"/>
            </w:tcBorders>
            <w:shd w:fill="FFFF00" w:val="clear"/>
            <w:vAlign w:val="bottom"/>
          </w:tcPr>
          <w:p>
            <w:pPr>
              <w:pStyle w:val="TableHead"/>
              <w:pBdr>
                <w:bottom w:val="nil"/>
              </w:pBdr>
              <w:rPr>
                <w:sz w:val="18"/>
              </w:rPr>
            </w:pPr>
            <w:r>
              <w:rPr>
                <w:sz w:val="18"/>
              </w:rPr>
              <w:t>State</w:t>
            </w:r>
          </w:p>
        </w:tc>
      </w:tr>
      <w:tr>
        <w:trPr>
          <w:tblHeader w:val="true"/>
        </w:trPr>
        <w:tc>
          <w:tcPr>
            <w:tcW w:w="1543" w:type="dxa"/>
            <w:tcBorders>
              <w:start w:val="single" w:sz="4" w:space="0" w:color="000000"/>
            </w:tcBorders>
          </w:tcPr>
          <w:p>
            <w:pPr>
              <w:pStyle w:val="TableBody"/>
              <w:keepNext w:val="true"/>
              <w:snapToGrid w:val="false"/>
              <w:spacing w:before="20" w:after="0"/>
              <w:jc w:val="center"/>
              <w:rPr>
                <w:sz w:val="18"/>
              </w:rPr>
            </w:pPr>
            <w:r>
              <w:rPr>
                <w:sz w:val="18"/>
              </w:rPr>
            </w:r>
          </w:p>
        </w:tc>
        <w:tc>
          <w:tcPr>
            <w:tcW w:w="810" w:type="dxa"/>
            <w:tcBorders/>
          </w:tcPr>
          <w:p>
            <w:pPr>
              <w:pStyle w:val="TableBody"/>
              <w:snapToGrid w:val="false"/>
              <w:spacing w:before="20" w:after="0"/>
              <w:jc w:val="center"/>
              <w:rPr>
                <w:sz w:val="18"/>
              </w:rPr>
            </w:pPr>
            <w:r>
              <w:rPr>
                <w:sz w:val="18"/>
              </w:rPr>
            </w:r>
          </w:p>
        </w:tc>
        <w:tc>
          <w:tcPr>
            <w:tcW w:w="990" w:type="dxa"/>
            <w:tcBorders/>
          </w:tcPr>
          <w:p>
            <w:pPr>
              <w:pStyle w:val="TableBody"/>
              <w:spacing w:before="20" w:after="0"/>
              <w:jc w:val="center"/>
              <w:rPr>
                <w:sz w:val="18"/>
              </w:rPr>
            </w:pPr>
            <w:r>
              <w:rPr>
                <w:sz w:val="18"/>
              </w:rPr>
              <w:t>(%)</w:t>
            </w:r>
          </w:p>
        </w:tc>
        <w:tc>
          <w:tcPr>
            <w:tcW w:w="816" w:type="dxa"/>
            <w:tcBorders/>
          </w:tcPr>
          <w:p>
            <w:pPr>
              <w:pStyle w:val="TableBody"/>
              <w:snapToGrid w:val="false"/>
              <w:spacing w:before="20" w:after="0"/>
              <w:jc w:val="center"/>
              <w:rPr>
                <w:sz w:val="18"/>
              </w:rPr>
            </w:pPr>
            <w:r>
              <w:rPr>
                <w:sz w:val="18"/>
              </w:rPr>
            </w:r>
          </w:p>
        </w:tc>
        <w:tc>
          <w:tcPr>
            <w:tcW w:w="842" w:type="dxa"/>
            <w:tcBorders/>
          </w:tcPr>
          <w:p>
            <w:pPr>
              <w:pStyle w:val="TableBody"/>
              <w:snapToGrid w:val="false"/>
              <w:spacing w:before="20" w:after="0"/>
              <w:jc w:val="center"/>
              <w:rPr>
                <w:sz w:val="18"/>
              </w:rPr>
            </w:pPr>
            <w:r>
              <w:rPr>
                <w:sz w:val="18"/>
              </w:rPr>
            </w:r>
          </w:p>
        </w:tc>
        <w:tc>
          <w:tcPr>
            <w:tcW w:w="952" w:type="dxa"/>
            <w:tcBorders/>
          </w:tcPr>
          <w:p>
            <w:pPr>
              <w:pStyle w:val="TableBody"/>
              <w:spacing w:before="20" w:after="0"/>
              <w:jc w:val="center"/>
              <w:rPr>
                <w:sz w:val="18"/>
              </w:rPr>
            </w:pPr>
            <w:r>
              <w:rPr>
                <w:sz w:val="18"/>
              </w:rPr>
              <w:t>(%)</w:t>
            </w:r>
          </w:p>
        </w:tc>
        <w:tc>
          <w:tcPr>
            <w:tcW w:w="732" w:type="dxa"/>
            <w:tcBorders>
              <w:end w:val="single" w:sz="4" w:space="0" w:color="000000"/>
            </w:tcBorders>
          </w:tcPr>
          <w:p>
            <w:pPr>
              <w:pStyle w:val="TableBody"/>
              <w:snapToGrid w:val="false"/>
              <w:spacing w:before="20" w:after="0"/>
              <w:jc w:val="center"/>
              <w:rPr>
                <w:sz w:val="18"/>
              </w:rPr>
            </w:pPr>
            <w:r>
              <w:rPr>
                <w:sz w:val="18"/>
              </w:rPr>
            </w:r>
          </w:p>
        </w:tc>
      </w:tr>
      <w:tr>
        <w:trPr>
          <w:tblHeader w:val="true"/>
        </w:trPr>
        <w:tc>
          <w:tcPr>
            <w:tcW w:w="1543" w:type="dxa"/>
            <w:tcBorders>
              <w:start w:val="single" w:sz="4" w:space="0" w:color="000000"/>
            </w:tcBorders>
          </w:tcPr>
          <w:p>
            <w:pPr>
              <w:pStyle w:val="TableHeadSpace"/>
              <w:rPr/>
            </w:pPr>
            <w:r>
              <w:rPr>
                <w:rStyle w:val="hidden"/>
              </w:rPr>
              <w:t>DO NOT DELETE</w:t>
            </w:r>
          </w:p>
        </w:tc>
        <w:tc>
          <w:tcPr>
            <w:tcW w:w="810" w:type="dxa"/>
            <w:tcBorders/>
          </w:tcPr>
          <w:p>
            <w:pPr>
              <w:pStyle w:val="TableHeadSpace"/>
              <w:snapToGrid w:val="false"/>
              <w:rPr>
                <w:rStyle w:val="hidden"/>
              </w:rPr>
            </w:pPr>
            <w:r>
              <w:rPr/>
            </w:r>
          </w:p>
        </w:tc>
        <w:tc>
          <w:tcPr>
            <w:tcW w:w="990" w:type="dxa"/>
            <w:tcBorders/>
          </w:tcPr>
          <w:p>
            <w:pPr>
              <w:pStyle w:val="TableHeadSpace"/>
              <w:snapToGrid w:val="false"/>
              <w:rPr/>
            </w:pPr>
            <w:r>
              <w:rPr/>
            </w:r>
          </w:p>
        </w:tc>
        <w:tc>
          <w:tcPr>
            <w:tcW w:w="816" w:type="dxa"/>
            <w:tcBorders/>
          </w:tcPr>
          <w:p>
            <w:pPr>
              <w:pStyle w:val="TableHeadSpace"/>
              <w:snapToGrid w:val="false"/>
              <w:rPr/>
            </w:pPr>
            <w:r>
              <w:rPr/>
            </w:r>
          </w:p>
        </w:tc>
        <w:tc>
          <w:tcPr>
            <w:tcW w:w="842" w:type="dxa"/>
            <w:tcBorders/>
          </w:tcPr>
          <w:p>
            <w:pPr>
              <w:pStyle w:val="TableHeadSpace"/>
              <w:snapToGrid w:val="false"/>
              <w:rPr/>
            </w:pPr>
            <w:r>
              <w:rPr/>
            </w:r>
          </w:p>
        </w:tc>
        <w:tc>
          <w:tcPr>
            <w:tcW w:w="952" w:type="dxa"/>
            <w:tcBorders/>
          </w:tcPr>
          <w:p>
            <w:pPr>
              <w:pStyle w:val="TableHeadSpace"/>
              <w:snapToGrid w:val="false"/>
              <w:rPr/>
            </w:pPr>
            <w:r>
              <w:rPr/>
            </w:r>
          </w:p>
        </w:tc>
        <w:tc>
          <w:tcPr>
            <w:tcW w:w="732" w:type="dxa"/>
            <w:tcBorders>
              <w:end w:val="single" w:sz="4" w:space="0" w:color="000000"/>
            </w:tcBorders>
          </w:tcPr>
          <w:p>
            <w:pPr>
              <w:pStyle w:val="TableHeadSpace"/>
              <w:snapToGrid w:val="false"/>
              <w:rPr/>
            </w:pPr>
            <w:r>
              <w:rPr/>
            </w:r>
          </w:p>
        </w:tc>
      </w:tr>
      <w:tr>
        <w:trPr/>
        <w:tc>
          <w:tcPr>
            <w:tcW w:w="1543" w:type="dxa"/>
            <w:tcBorders>
              <w:start w:val="single" w:sz="4" w:space="0" w:color="000000"/>
            </w:tcBorders>
          </w:tcPr>
          <w:p>
            <w:pPr>
              <w:pStyle w:val="TableBody"/>
              <w:spacing w:before="20" w:after="20"/>
              <w:rPr>
                <w:sz w:val="18"/>
              </w:rPr>
            </w:pPr>
            <w:r>
              <w:rPr>
                <w:sz w:val="18"/>
              </w:rPr>
              <w:t>Bahiagas</w:t>
            </w:r>
          </w:p>
        </w:tc>
        <w:tc>
          <w:tcPr>
            <w:tcW w:w="810" w:type="dxa"/>
            <w:tcBorders/>
          </w:tcPr>
          <w:p>
            <w:pPr>
              <w:pStyle w:val="TableBody"/>
              <w:tabs>
                <w:tab w:val="clear" w:pos="720"/>
                <w:tab w:val="decimal" w:pos="342" w:leader="none"/>
              </w:tabs>
              <w:spacing w:before="20" w:after="20"/>
              <w:rPr>
                <w:sz w:val="18"/>
              </w:rPr>
            </w:pPr>
            <w:r>
              <w:rPr>
                <w:sz w:val="18"/>
              </w:rPr>
              <w:t>24.5</w:t>
            </w:r>
          </w:p>
        </w:tc>
        <w:tc>
          <w:tcPr>
            <w:tcW w:w="990" w:type="dxa"/>
            <w:tcBorders/>
          </w:tcPr>
          <w:p>
            <w:pPr>
              <w:pStyle w:val="TableBody"/>
              <w:tabs>
                <w:tab w:val="clear" w:pos="720"/>
                <w:tab w:val="decimal" w:pos="342" w:leader="none"/>
              </w:tabs>
              <w:spacing w:before="20" w:after="20"/>
              <w:rPr>
                <w:sz w:val="18"/>
              </w:rPr>
            </w:pPr>
            <w:r>
              <w:rPr>
                <w:sz w:val="18"/>
              </w:rPr>
              <w:t>24.5</w:t>
            </w:r>
          </w:p>
        </w:tc>
        <w:tc>
          <w:tcPr>
            <w:tcW w:w="816" w:type="dxa"/>
            <w:tcBorders/>
          </w:tcPr>
          <w:p>
            <w:pPr>
              <w:pStyle w:val="TableBody"/>
              <w:tabs>
                <w:tab w:val="clear" w:pos="720"/>
                <w:tab w:val="decimal" w:pos="342" w:leader="none"/>
              </w:tabs>
              <w:spacing w:before="20" w:after="20"/>
              <w:rPr>
                <w:sz w:val="18"/>
              </w:rPr>
            </w:pPr>
            <w:r>
              <w:rPr>
                <w:sz w:val="18"/>
              </w:rPr>
              <w:t>51</w:t>
            </w:r>
          </w:p>
        </w:tc>
        <w:tc>
          <w:tcPr>
            <w:tcW w:w="842" w:type="dxa"/>
            <w:tcBorders/>
          </w:tcPr>
          <w:p>
            <w:pPr>
              <w:pStyle w:val="TableBody"/>
              <w:tabs>
                <w:tab w:val="clear" w:pos="720"/>
                <w:tab w:val="decimal" w:pos="342" w:leader="none"/>
              </w:tabs>
              <w:spacing w:before="20" w:after="20"/>
              <w:rPr>
                <w:sz w:val="18"/>
              </w:rPr>
            </w:pPr>
            <w:r>
              <w:rPr>
                <w:sz w:val="18"/>
              </w:rPr>
              <w:t>41.5</w:t>
            </w:r>
          </w:p>
        </w:tc>
        <w:tc>
          <w:tcPr>
            <w:tcW w:w="952" w:type="dxa"/>
            <w:tcBorders/>
          </w:tcPr>
          <w:p>
            <w:pPr>
              <w:pStyle w:val="TableBody"/>
              <w:tabs>
                <w:tab w:val="clear" w:pos="720"/>
                <w:tab w:val="decimal" w:pos="342" w:leader="none"/>
              </w:tabs>
              <w:spacing w:before="2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before="20" w:after="20"/>
              <w:rPr>
                <w:sz w:val="18"/>
              </w:rPr>
            </w:pPr>
            <w:r>
              <w:rPr>
                <w:sz w:val="18"/>
              </w:rPr>
              <w:t>17</w:t>
            </w:r>
          </w:p>
        </w:tc>
      </w:tr>
      <w:tr>
        <w:trPr/>
        <w:tc>
          <w:tcPr>
            <w:tcW w:w="1543" w:type="dxa"/>
            <w:tcBorders>
              <w:start w:val="single" w:sz="4" w:space="0" w:color="000000"/>
            </w:tcBorders>
          </w:tcPr>
          <w:p>
            <w:pPr>
              <w:pStyle w:val="TableBody"/>
              <w:spacing w:before="20" w:after="20"/>
              <w:rPr>
                <w:sz w:val="18"/>
              </w:rPr>
            </w:pPr>
            <w:r>
              <w:rPr>
                <w:sz w:val="18"/>
              </w:rPr>
              <w:t>Emsergas</w:t>
            </w:r>
          </w:p>
        </w:tc>
        <w:tc>
          <w:tcPr>
            <w:tcW w:w="810" w:type="dxa"/>
            <w:tcBorders/>
          </w:tcPr>
          <w:p>
            <w:pPr>
              <w:pStyle w:val="TableBody"/>
              <w:tabs>
                <w:tab w:val="clear" w:pos="720"/>
                <w:tab w:val="decimal" w:pos="342" w:leader="none"/>
              </w:tabs>
              <w:spacing w:before="20" w:after="20"/>
              <w:rPr>
                <w:sz w:val="18"/>
              </w:rPr>
            </w:pPr>
            <w:r>
              <w:rPr>
                <w:sz w:val="18"/>
              </w:rPr>
              <w:t>24.5</w:t>
            </w:r>
          </w:p>
        </w:tc>
        <w:tc>
          <w:tcPr>
            <w:tcW w:w="990" w:type="dxa"/>
            <w:tcBorders/>
          </w:tcPr>
          <w:p>
            <w:pPr>
              <w:pStyle w:val="TableBody"/>
              <w:tabs>
                <w:tab w:val="clear" w:pos="720"/>
                <w:tab w:val="decimal" w:pos="342" w:leader="none"/>
              </w:tabs>
              <w:spacing w:before="20" w:after="20"/>
              <w:rPr>
                <w:sz w:val="18"/>
              </w:rPr>
            </w:pPr>
            <w:r>
              <w:rPr>
                <w:sz w:val="18"/>
              </w:rPr>
              <w:t>24.5</w:t>
            </w:r>
          </w:p>
        </w:tc>
        <w:tc>
          <w:tcPr>
            <w:tcW w:w="816" w:type="dxa"/>
            <w:tcBorders/>
          </w:tcPr>
          <w:p>
            <w:pPr>
              <w:pStyle w:val="TableBody"/>
              <w:tabs>
                <w:tab w:val="clear" w:pos="720"/>
                <w:tab w:val="decimal" w:pos="342" w:leader="none"/>
              </w:tabs>
              <w:spacing w:before="20" w:after="20"/>
              <w:rPr>
                <w:sz w:val="18"/>
              </w:rPr>
            </w:pPr>
            <w:r>
              <w:rPr>
                <w:sz w:val="18"/>
              </w:rPr>
              <w:t>51</w:t>
            </w:r>
          </w:p>
        </w:tc>
        <w:tc>
          <w:tcPr>
            <w:tcW w:w="842" w:type="dxa"/>
            <w:tcBorders/>
          </w:tcPr>
          <w:p>
            <w:pPr>
              <w:pStyle w:val="TableBody"/>
              <w:tabs>
                <w:tab w:val="clear" w:pos="720"/>
                <w:tab w:val="decimal" w:pos="342" w:leader="none"/>
              </w:tabs>
              <w:spacing w:before="20" w:after="20"/>
              <w:rPr>
                <w:sz w:val="18"/>
              </w:rPr>
            </w:pPr>
            <w:r>
              <w:rPr>
                <w:sz w:val="18"/>
              </w:rPr>
              <w:t>41.5</w:t>
            </w:r>
          </w:p>
        </w:tc>
        <w:tc>
          <w:tcPr>
            <w:tcW w:w="952" w:type="dxa"/>
            <w:tcBorders/>
          </w:tcPr>
          <w:p>
            <w:pPr>
              <w:pStyle w:val="TableBody"/>
              <w:tabs>
                <w:tab w:val="clear" w:pos="720"/>
                <w:tab w:val="decimal" w:pos="342" w:leader="none"/>
              </w:tabs>
              <w:spacing w:before="2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before="20" w:after="20"/>
              <w:rPr>
                <w:sz w:val="18"/>
              </w:rPr>
            </w:pPr>
            <w:r>
              <w:rPr>
                <w:sz w:val="18"/>
              </w:rPr>
              <w:t>17</w:t>
            </w:r>
          </w:p>
        </w:tc>
      </w:tr>
      <w:tr>
        <w:trPr/>
        <w:tc>
          <w:tcPr>
            <w:tcW w:w="1543" w:type="dxa"/>
            <w:tcBorders>
              <w:start w:val="single" w:sz="4" w:space="0" w:color="000000"/>
            </w:tcBorders>
          </w:tcPr>
          <w:p>
            <w:pPr>
              <w:pStyle w:val="TableBody"/>
              <w:spacing w:before="20" w:after="20"/>
              <w:rPr>
                <w:sz w:val="18"/>
              </w:rPr>
            </w:pPr>
            <w:r>
              <w:rPr>
                <w:sz w:val="18"/>
              </w:rPr>
              <w:t>PB Gas</w:t>
            </w:r>
          </w:p>
        </w:tc>
        <w:tc>
          <w:tcPr>
            <w:tcW w:w="810" w:type="dxa"/>
            <w:tcBorders/>
          </w:tcPr>
          <w:p>
            <w:pPr>
              <w:pStyle w:val="TableBody"/>
              <w:tabs>
                <w:tab w:val="clear" w:pos="720"/>
                <w:tab w:val="decimal" w:pos="342" w:leader="none"/>
              </w:tabs>
              <w:spacing w:before="20" w:after="20"/>
              <w:rPr>
                <w:sz w:val="18"/>
              </w:rPr>
            </w:pPr>
            <w:r>
              <w:rPr>
                <w:sz w:val="18"/>
              </w:rPr>
              <w:t>24.5</w:t>
            </w:r>
          </w:p>
        </w:tc>
        <w:tc>
          <w:tcPr>
            <w:tcW w:w="990" w:type="dxa"/>
            <w:tcBorders/>
          </w:tcPr>
          <w:p>
            <w:pPr>
              <w:pStyle w:val="TableBody"/>
              <w:tabs>
                <w:tab w:val="clear" w:pos="720"/>
                <w:tab w:val="decimal" w:pos="342" w:leader="none"/>
              </w:tabs>
              <w:spacing w:before="20" w:after="20"/>
              <w:rPr>
                <w:sz w:val="18"/>
              </w:rPr>
            </w:pPr>
            <w:r>
              <w:rPr>
                <w:sz w:val="18"/>
              </w:rPr>
              <w:t>24.5</w:t>
            </w:r>
          </w:p>
        </w:tc>
        <w:tc>
          <w:tcPr>
            <w:tcW w:w="816" w:type="dxa"/>
            <w:tcBorders/>
          </w:tcPr>
          <w:p>
            <w:pPr>
              <w:pStyle w:val="TableBody"/>
              <w:tabs>
                <w:tab w:val="clear" w:pos="720"/>
                <w:tab w:val="decimal" w:pos="342" w:leader="none"/>
              </w:tabs>
              <w:spacing w:before="20" w:after="20"/>
              <w:rPr>
                <w:sz w:val="18"/>
              </w:rPr>
            </w:pPr>
            <w:r>
              <w:rPr>
                <w:sz w:val="18"/>
              </w:rPr>
              <w:t>51</w:t>
            </w:r>
          </w:p>
        </w:tc>
        <w:tc>
          <w:tcPr>
            <w:tcW w:w="842" w:type="dxa"/>
            <w:tcBorders/>
          </w:tcPr>
          <w:p>
            <w:pPr>
              <w:pStyle w:val="TableBody"/>
              <w:tabs>
                <w:tab w:val="clear" w:pos="720"/>
                <w:tab w:val="decimal" w:pos="342" w:leader="none"/>
              </w:tabs>
              <w:spacing w:before="20" w:after="20"/>
              <w:rPr>
                <w:sz w:val="18"/>
              </w:rPr>
            </w:pPr>
            <w:r>
              <w:rPr>
                <w:sz w:val="18"/>
              </w:rPr>
              <w:t>41.5</w:t>
            </w:r>
          </w:p>
        </w:tc>
        <w:tc>
          <w:tcPr>
            <w:tcW w:w="952" w:type="dxa"/>
            <w:tcBorders/>
          </w:tcPr>
          <w:p>
            <w:pPr>
              <w:pStyle w:val="TableBody"/>
              <w:tabs>
                <w:tab w:val="clear" w:pos="720"/>
                <w:tab w:val="decimal" w:pos="342" w:leader="none"/>
              </w:tabs>
              <w:spacing w:before="2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before="20" w:after="20"/>
              <w:rPr>
                <w:sz w:val="18"/>
              </w:rPr>
            </w:pPr>
            <w:r>
              <w:rPr>
                <w:sz w:val="18"/>
              </w:rPr>
              <w:t>17</w:t>
            </w:r>
          </w:p>
        </w:tc>
      </w:tr>
      <w:tr>
        <w:trPr/>
        <w:tc>
          <w:tcPr>
            <w:tcW w:w="1543" w:type="dxa"/>
            <w:tcBorders>
              <w:start w:val="single" w:sz="4" w:space="0" w:color="000000"/>
            </w:tcBorders>
          </w:tcPr>
          <w:p>
            <w:pPr>
              <w:pStyle w:val="TableBody"/>
              <w:spacing w:before="20" w:after="20"/>
              <w:rPr>
                <w:sz w:val="18"/>
              </w:rPr>
            </w:pPr>
            <w:r>
              <w:rPr>
                <w:sz w:val="18"/>
              </w:rPr>
              <w:t>Algas</w:t>
            </w:r>
          </w:p>
        </w:tc>
        <w:tc>
          <w:tcPr>
            <w:tcW w:w="810" w:type="dxa"/>
            <w:tcBorders/>
          </w:tcPr>
          <w:p>
            <w:pPr>
              <w:pStyle w:val="TableBody"/>
              <w:tabs>
                <w:tab w:val="clear" w:pos="720"/>
                <w:tab w:val="decimal" w:pos="342" w:leader="none"/>
              </w:tabs>
              <w:spacing w:before="20" w:after="20"/>
              <w:rPr>
                <w:sz w:val="18"/>
              </w:rPr>
            </w:pPr>
            <w:r>
              <w:rPr>
                <w:sz w:val="18"/>
              </w:rPr>
              <w:t>24.5</w:t>
            </w:r>
          </w:p>
        </w:tc>
        <w:tc>
          <w:tcPr>
            <w:tcW w:w="990" w:type="dxa"/>
            <w:tcBorders/>
          </w:tcPr>
          <w:p>
            <w:pPr>
              <w:pStyle w:val="TableBody"/>
              <w:tabs>
                <w:tab w:val="clear" w:pos="720"/>
                <w:tab w:val="decimal" w:pos="342" w:leader="none"/>
              </w:tabs>
              <w:spacing w:before="20" w:after="20"/>
              <w:rPr>
                <w:sz w:val="18"/>
              </w:rPr>
            </w:pPr>
            <w:r>
              <w:rPr>
                <w:sz w:val="18"/>
              </w:rPr>
              <w:t>24.5</w:t>
            </w:r>
          </w:p>
        </w:tc>
        <w:tc>
          <w:tcPr>
            <w:tcW w:w="816" w:type="dxa"/>
            <w:tcBorders/>
          </w:tcPr>
          <w:p>
            <w:pPr>
              <w:pStyle w:val="TableBody"/>
              <w:tabs>
                <w:tab w:val="clear" w:pos="720"/>
                <w:tab w:val="decimal" w:pos="342" w:leader="none"/>
              </w:tabs>
              <w:spacing w:before="20" w:after="20"/>
              <w:rPr>
                <w:sz w:val="18"/>
              </w:rPr>
            </w:pPr>
            <w:r>
              <w:rPr>
                <w:sz w:val="18"/>
              </w:rPr>
              <w:t>51</w:t>
            </w:r>
          </w:p>
        </w:tc>
        <w:tc>
          <w:tcPr>
            <w:tcW w:w="842" w:type="dxa"/>
            <w:tcBorders/>
          </w:tcPr>
          <w:p>
            <w:pPr>
              <w:pStyle w:val="TableBody"/>
              <w:tabs>
                <w:tab w:val="clear" w:pos="720"/>
                <w:tab w:val="decimal" w:pos="342" w:leader="none"/>
              </w:tabs>
              <w:spacing w:before="20" w:after="20"/>
              <w:rPr>
                <w:sz w:val="18"/>
              </w:rPr>
            </w:pPr>
            <w:r>
              <w:rPr>
                <w:sz w:val="18"/>
              </w:rPr>
              <w:t>41.5</w:t>
            </w:r>
          </w:p>
        </w:tc>
        <w:tc>
          <w:tcPr>
            <w:tcW w:w="952" w:type="dxa"/>
            <w:tcBorders/>
          </w:tcPr>
          <w:p>
            <w:pPr>
              <w:pStyle w:val="TableBody"/>
              <w:tabs>
                <w:tab w:val="clear" w:pos="720"/>
                <w:tab w:val="decimal" w:pos="342" w:leader="none"/>
              </w:tabs>
              <w:spacing w:before="2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before="20" w:after="20"/>
              <w:rPr>
                <w:sz w:val="18"/>
              </w:rPr>
            </w:pPr>
            <w:r>
              <w:rPr>
                <w:sz w:val="18"/>
              </w:rPr>
              <w:t>17</w:t>
            </w:r>
          </w:p>
        </w:tc>
      </w:tr>
      <w:tr>
        <w:trPr/>
        <w:tc>
          <w:tcPr>
            <w:tcW w:w="1543" w:type="dxa"/>
            <w:tcBorders>
              <w:start w:val="single" w:sz="4" w:space="0" w:color="000000"/>
            </w:tcBorders>
          </w:tcPr>
          <w:p>
            <w:pPr>
              <w:pStyle w:val="TableBody"/>
              <w:spacing w:before="20" w:after="20"/>
              <w:rPr>
                <w:sz w:val="18"/>
              </w:rPr>
            </w:pPr>
            <w:r>
              <w:rPr>
                <w:sz w:val="18"/>
              </w:rPr>
              <w:t>Copergas</w:t>
            </w:r>
          </w:p>
        </w:tc>
        <w:tc>
          <w:tcPr>
            <w:tcW w:w="810" w:type="dxa"/>
            <w:tcBorders/>
          </w:tcPr>
          <w:p>
            <w:pPr>
              <w:pStyle w:val="TableBody"/>
              <w:tabs>
                <w:tab w:val="clear" w:pos="720"/>
                <w:tab w:val="decimal" w:pos="342" w:leader="none"/>
              </w:tabs>
              <w:spacing w:before="20" w:after="20"/>
              <w:rPr>
                <w:sz w:val="18"/>
              </w:rPr>
            </w:pPr>
            <w:r>
              <w:rPr>
                <w:sz w:val="18"/>
              </w:rPr>
              <w:t>24.5</w:t>
            </w:r>
          </w:p>
        </w:tc>
        <w:tc>
          <w:tcPr>
            <w:tcW w:w="990" w:type="dxa"/>
            <w:tcBorders/>
          </w:tcPr>
          <w:p>
            <w:pPr>
              <w:pStyle w:val="TableBody"/>
              <w:tabs>
                <w:tab w:val="clear" w:pos="720"/>
                <w:tab w:val="decimal" w:pos="342" w:leader="none"/>
              </w:tabs>
              <w:spacing w:before="20" w:after="20"/>
              <w:rPr>
                <w:sz w:val="18"/>
              </w:rPr>
            </w:pPr>
            <w:r>
              <w:rPr>
                <w:sz w:val="18"/>
              </w:rPr>
              <w:t>24.5</w:t>
            </w:r>
          </w:p>
        </w:tc>
        <w:tc>
          <w:tcPr>
            <w:tcW w:w="816" w:type="dxa"/>
            <w:tcBorders/>
          </w:tcPr>
          <w:p>
            <w:pPr>
              <w:pStyle w:val="TableBody"/>
              <w:tabs>
                <w:tab w:val="clear" w:pos="720"/>
                <w:tab w:val="decimal" w:pos="342" w:leader="none"/>
              </w:tabs>
              <w:spacing w:before="20" w:after="20"/>
              <w:rPr>
                <w:sz w:val="18"/>
              </w:rPr>
            </w:pPr>
            <w:r>
              <w:rPr>
                <w:sz w:val="18"/>
              </w:rPr>
              <w:t>51</w:t>
            </w:r>
          </w:p>
        </w:tc>
        <w:tc>
          <w:tcPr>
            <w:tcW w:w="842" w:type="dxa"/>
            <w:tcBorders/>
          </w:tcPr>
          <w:p>
            <w:pPr>
              <w:pStyle w:val="TableBody"/>
              <w:tabs>
                <w:tab w:val="clear" w:pos="720"/>
                <w:tab w:val="decimal" w:pos="342" w:leader="none"/>
              </w:tabs>
              <w:spacing w:before="20" w:after="20"/>
              <w:rPr>
                <w:sz w:val="18"/>
              </w:rPr>
            </w:pPr>
            <w:r>
              <w:rPr>
                <w:sz w:val="18"/>
              </w:rPr>
              <w:t>41.5</w:t>
            </w:r>
          </w:p>
        </w:tc>
        <w:tc>
          <w:tcPr>
            <w:tcW w:w="952" w:type="dxa"/>
            <w:tcBorders/>
          </w:tcPr>
          <w:p>
            <w:pPr>
              <w:pStyle w:val="TableBody"/>
              <w:tabs>
                <w:tab w:val="clear" w:pos="720"/>
                <w:tab w:val="decimal" w:pos="342" w:leader="none"/>
              </w:tabs>
              <w:spacing w:before="2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before="20" w:after="20"/>
              <w:rPr>
                <w:sz w:val="18"/>
              </w:rPr>
            </w:pPr>
            <w:r>
              <w:rPr>
                <w:sz w:val="18"/>
              </w:rPr>
              <w:t>17</w:t>
            </w:r>
          </w:p>
        </w:tc>
      </w:tr>
      <w:tr>
        <w:trPr/>
        <w:tc>
          <w:tcPr>
            <w:tcW w:w="1543" w:type="dxa"/>
            <w:tcBorders>
              <w:start w:val="single" w:sz="4" w:space="0" w:color="000000"/>
            </w:tcBorders>
          </w:tcPr>
          <w:p>
            <w:pPr>
              <w:pStyle w:val="TableBody"/>
              <w:spacing w:before="20" w:after="20"/>
              <w:rPr>
                <w:sz w:val="18"/>
              </w:rPr>
            </w:pPr>
            <w:r>
              <w:rPr>
                <w:sz w:val="18"/>
              </w:rPr>
              <w:t>SC Gas</w:t>
            </w:r>
          </w:p>
        </w:tc>
        <w:tc>
          <w:tcPr>
            <w:tcW w:w="810" w:type="dxa"/>
            <w:tcBorders/>
          </w:tcPr>
          <w:p>
            <w:pPr>
              <w:pStyle w:val="TableBody"/>
              <w:tabs>
                <w:tab w:val="clear" w:pos="720"/>
                <w:tab w:val="decimal" w:pos="342" w:leader="none"/>
              </w:tabs>
              <w:spacing w:before="20" w:after="20"/>
              <w:rPr>
                <w:sz w:val="18"/>
              </w:rPr>
            </w:pPr>
            <w:r>
              <w:rPr>
                <w:sz w:val="18"/>
              </w:rPr>
              <w:t>24.5</w:t>
            </w:r>
          </w:p>
        </w:tc>
        <w:tc>
          <w:tcPr>
            <w:tcW w:w="990" w:type="dxa"/>
            <w:tcBorders/>
          </w:tcPr>
          <w:p>
            <w:pPr>
              <w:pStyle w:val="TableBody"/>
              <w:tabs>
                <w:tab w:val="clear" w:pos="720"/>
                <w:tab w:val="decimal" w:pos="342" w:leader="none"/>
              </w:tabs>
              <w:spacing w:before="20" w:after="20"/>
              <w:rPr>
                <w:sz w:val="18"/>
              </w:rPr>
            </w:pPr>
            <w:r>
              <w:rPr>
                <w:sz w:val="18"/>
              </w:rPr>
              <w:t>24.5</w:t>
            </w:r>
          </w:p>
        </w:tc>
        <w:tc>
          <w:tcPr>
            <w:tcW w:w="816" w:type="dxa"/>
            <w:tcBorders/>
          </w:tcPr>
          <w:p>
            <w:pPr>
              <w:pStyle w:val="TableBody"/>
              <w:tabs>
                <w:tab w:val="clear" w:pos="720"/>
                <w:tab w:val="decimal" w:pos="342" w:leader="none"/>
              </w:tabs>
              <w:spacing w:before="20" w:after="20"/>
              <w:rPr>
                <w:sz w:val="18"/>
              </w:rPr>
            </w:pPr>
            <w:r>
              <w:rPr>
                <w:sz w:val="18"/>
              </w:rPr>
              <w:t>51</w:t>
            </w:r>
          </w:p>
        </w:tc>
        <w:tc>
          <w:tcPr>
            <w:tcW w:w="842" w:type="dxa"/>
            <w:tcBorders/>
          </w:tcPr>
          <w:p>
            <w:pPr>
              <w:pStyle w:val="TableBody"/>
              <w:tabs>
                <w:tab w:val="clear" w:pos="720"/>
                <w:tab w:val="decimal" w:pos="342" w:leader="none"/>
              </w:tabs>
              <w:spacing w:before="20" w:after="20"/>
              <w:rPr>
                <w:sz w:val="18"/>
              </w:rPr>
            </w:pPr>
            <w:r>
              <w:rPr>
                <w:sz w:val="18"/>
              </w:rPr>
              <w:t>41.5</w:t>
            </w:r>
          </w:p>
        </w:tc>
        <w:tc>
          <w:tcPr>
            <w:tcW w:w="952" w:type="dxa"/>
            <w:tcBorders/>
          </w:tcPr>
          <w:p>
            <w:pPr>
              <w:pStyle w:val="TableBody"/>
              <w:tabs>
                <w:tab w:val="clear" w:pos="720"/>
                <w:tab w:val="decimal" w:pos="342" w:leader="none"/>
              </w:tabs>
              <w:spacing w:before="20" w:after="20"/>
              <w:rPr>
                <w:sz w:val="18"/>
              </w:rPr>
            </w:pPr>
            <w:r>
              <w:rPr>
                <w:sz w:val="18"/>
              </w:rPr>
              <w:t>41.5</w:t>
            </w:r>
          </w:p>
        </w:tc>
        <w:tc>
          <w:tcPr>
            <w:tcW w:w="732" w:type="dxa"/>
            <w:tcBorders>
              <w:end w:val="single" w:sz="4" w:space="0" w:color="000000"/>
            </w:tcBorders>
          </w:tcPr>
          <w:p>
            <w:pPr>
              <w:pStyle w:val="TableBody"/>
              <w:tabs>
                <w:tab w:val="clear" w:pos="720"/>
                <w:tab w:val="decimal" w:pos="342" w:leader="none"/>
              </w:tabs>
              <w:spacing w:before="20" w:after="20"/>
              <w:rPr>
                <w:sz w:val="18"/>
              </w:rPr>
            </w:pPr>
            <w:r>
              <w:rPr>
                <w:sz w:val="18"/>
              </w:rPr>
              <w:t>17</w:t>
            </w:r>
          </w:p>
        </w:tc>
      </w:tr>
      <w:tr>
        <w:trPr/>
        <w:tc>
          <w:tcPr>
            <w:tcW w:w="1543" w:type="dxa"/>
            <w:tcBorders>
              <w:start w:val="single" w:sz="4" w:space="0" w:color="000000"/>
              <w:bottom w:val="single" w:sz="4" w:space="0" w:color="000000"/>
            </w:tcBorders>
          </w:tcPr>
          <w:p>
            <w:pPr>
              <w:pStyle w:val="TableBody"/>
              <w:spacing w:before="20" w:after="20"/>
              <w:rPr>
                <w:sz w:val="18"/>
              </w:rPr>
            </w:pPr>
            <w:r>
              <w:rPr>
                <w:sz w:val="18"/>
              </w:rPr>
              <w:t>Compagas</w:t>
            </w:r>
          </w:p>
        </w:tc>
        <w:tc>
          <w:tcPr>
            <w:tcW w:w="810" w:type="dxa"/>
            <w:tcBorders>
              <w:bottom w:val="single" w:sz="4" w:space="0" w:color="000000"/>
            </w:tcBorders>
          </w:tcPr>
          <w:p>
            <w:pPr>
              <w:pStyle w:val="TableBody"/>
              <w:tabs>
                <w:tab w:val="clear" w:pos="720"/>
                <w:tab w:val="decimal" w:pos="342" w:leader="none"/>
              </w:tabs>
              <w:spacing w:before="20" w:after="20"/>
              <w:rPr>
                <w:sz w:val="18"/>
              </w:rPr>
            </w:pPr>
            <w:r>
              <w:rPr>
                <w:sz w:val="18"/>
              </w:rPr>
              <w:t>24.5</w:t>
            </w:r>
          </w:p>
        </w:tc>
        <w:tc>
          <w:tcPr>
            <w:tcW w:w="990" w:type="dxa"/>
            <w:tcBorders>
              <w:bottom w:val="single" w:sz="4" w:space="0" w:color="000000"/>
            </w:tcBorders>
          </w:tcPr>
          <w:p>
            <w:pPr>
              <w:pStyle w:val="TableBody"/>
              <w:tabs>
                <w:tab w:val="clear" w:pos="720"/>
                <w:tab w:val="decimal" w:pos="342" w:leader="none"/>
              </w:tabs>
              <w:spacing w:before="20" w:after="20"/>
              <w:rPr>
                <w:sz w:val="18"/>
              </w:rPr>
            </w:pPr>
            <w:r>
              <w:rPr>
                <w:sz w:val="18"/>
              </w:rPr>
              <w:t>24.5</w:t>
            </w:r>
          </w:p>
        </w:tc>
        <w:tc>
          <w:tcPr>
            <w:tcW w:w="816" w:type="dxa"/>
            <w:tcBorders>
              <w:bottom w:val="single" w:sz="4" w:space="0" w:color="000000"/>
            </w:tcBorders>
          </w:tcPr>
          <w:p>
            <w:pPr>
              <w:pStyle w:val="TableBody"/>
              <w:tabs>
                <w:tab w:val="clear" w:pos="720"/>
                <w:tab w:val="decimal" w:pos="342" w:leader="none"/>
              </w:tabs>
              <w:spacing w:before="20" w:after="20"/>
              <w:rPr>
                <w:sz w:val="18"/>
              </w:rPr>
            </w:pPr>
            <w:r>
              <w:rPr>
                <w:sz w:val="18"/>
              </w:rPr>
              <w:t>51</w:t>
            </w:r>
          </w:p>
        </w:tc>
        <w:tc>
          <w:tcPr>
            <w:tcW w:w="842" w:type="dxa"/>
            <w:tcBorders>
              <w:bottom w:val="single" w:sz="4" w:space="0" w:color="000000"/>
            </w:tcBorders>
          </w:tcPr>
          <w:p>
            <w:pPr>
              <w:pStyle w:val="TableBody"/>
              <w:tabs>
                <w:tab w:val="clear" w:pos="720"/>
                <w:tab w:val="decimal" w:pos="342" w:leader="none"/>
              </w:tabs>
              <w:spacing w:before="20" w:after="20"/>
              <w:rPr>
                <w:sz w:val="18"/>
              </w:rPr>
            </w:pPr>
            <w:r>
              <w:rPr>
                <w:sz w:val="18"/>
              </w:rPr>
              <w:t>24.5</w:t>
            </w:r>
          </w:p>
        </w:tc>
        <w:tc>
          <w:tcPr>
            <w:tcW w:w="952" w:type="dxa"/>
            <w:tcBorders>
              <w:bottom w:val="single" w:sz="4" w:space="0" w:color="000000"/>
            </w:tcBorders>
          </w:tcPr>
          <w:p>
            <w:pPr>
              <w:pStyle w:val="TableBody"/>
              <w:tabs>
                <w:tab w:val="clear" w:pos="720"/>
                <w:tab w:val="decimal" w:pos="342" w:leader="none"/>
              </w:tabs>
              <w:spacing w:before="20" w:after="20"/>
              <w:rPr>
                <w:sz w:val="18"/>
              </w:rPr>
            </w:pPr>
            <w:r>
              <w:rPr>
                <w:sz w:val="18"/>
              </w:rPr>
              <w:t>24.5</w:t>
            </w:r>
          </w:p>
        </w:tc>
        <w:tc>
          <w:tcPr>
            <w:tcW w:w="732" w:type="dxa"/>
            <w:tcBorders>
              <w:bottom w:val="single" w:sz="4" w:space="0" w:color="000000"/>
              <w:end w:val="single" w:sz="4" w:space="0" w:color="000000"/>
            </w:tcBorders>
          </w:tcPr>
          <w:p>
            <w:pPr>
              <w:pStyle w:val="TableBody"/>
              <w:tabs>
                <w:tab w:val="clear" w:pos="720"/>
                <w:tab w:val="decimal" w:pos="342" w:leader="none"/>
              </w:tabs>
              <w:spacing w:before="20" w:after="20"/>
              <w:rPr>
                <w:sz w:val="18"/>
              </w:rPr>
            </w:pPr>
            <w:r>
              <w:rPr>
                <w:sz w:val="18"/>
              </w:rPr>
              <w:t>51</w:t>
            </w:r>
          </w:p>
        </w:tc>
      </w:tr>
    </w:tbl>
    <w:p>
      <w:pPr>
        <w:pStyle w:val="BLKmed1st0"/>
        <w:rPr/>
      </w:pPr>
      <w:r>
        <w:rPr/>
      </w:r>
    </w:p>
    <w:p>
      <w:pPr>
        <w:pStyle w:val="Heading4"/>
        <w:ind w:hanging="0" w:start="0"/>
        <w:rPr/>
      </w:pPr>
      <w:r>
        <w:rPr/>
        <w:t>Management</w:t>
      </w:r>
    </w:p>
    <w:p>
      <w:pPr>
        <w:pStyle w:val="BLKmed1st1"/>
        <w:rPr>
          <w:b/>
          <w:u w:val="single"/>
        </w:rPr>
      </w:pPr>
      <w:r>
        <w:rPr>
          <w:b/>
          <w:u w:val="single"/>
        </w:rPr>
        <w:t>Gaspart</w:t>
      </w:r>
    </w:p>
    <w:p>
      <w:pPr>
        <w:pStyle w:val="BLKmed1st1"/>
        <w:rPr/>
      </w:pPr>
      <w:r>
        <w:rPr/>
        <w:t>General management and administration of the company is performed by a Board of Officers and a Board of Directors, comprised of between five to eight individuals appointed to two-year terms.  The Board of Directors elects a Board of Officers comprised of between two and three individuals serving two-year terms.  The Board of Officers may include a president, an operations officer and a financial officer.  The officers represent the company at the direction of the Board of Directors.  In addition, Gaspart has a Board of Inspectors who is responsible for rendering opinions on its financial affairs.</w:t>
      </w:r>
    </w:p>
    <w:p>
      <w:pPr>
        <w:pStyle w:val="Normal"/>
        <w:rPr>
          <w:b/>
          <w:u w:val="single"/>
        </w:rPr>
      </w:pPr>
      <w:r>
        <w:rPr>
          <w:b/>
          <w:u w:val="single"/>
        </w:rPr>
        <w:t>Compagas</w:t>
      </w:r>
    </w:p>
    <w:p>
      <w:pPr>
        <w:pStyle w:val="Normal"/>
        <w:rPr/>
      </w:pPr>
      <w:r>
        <w:rPr/>
        <w:t>Holders of common stock are entitled to participate in the General Shareholder Assembly, and certain corporate actions, including the appointment of corporate officers and individuals to the Administrative Council (or board of directors) require the affirmative vote of at least 66% of the General Shareholder Assembly.  Other corporate actions, including mergers, amendments to the bylaws and dissolution of the company, require an 80% supermajority of the General Shareholder Assembly.  According to the Shareholders Agreement, Copel will always control 51% of the common shares of Compagas.</w:t>
      </w:r>
    </w:p>
    <w:p>
      <w:pPr>
        <w:pStyle w:val="Normal"/>
        <w:rPr/>
      </w:pPr>
      <w:r>
        <w:rPr/>
        <w:t>The Administrative Council has five members and five alternates, and Copel, as the controlling shareholder, is entitled to appoint the president of the administrative council and two additional council members and their alternates.  Gaspart and Petrobas as minority shareholders are entitled to appoint the remaining two members, one of whom shall be the vice president.  Major corporate decisions require the unanimous approval of the Administrative Council, thereby giving both Petrobas and Gaspart effective veto control.  Each member of the Administrative Council is elected for two-year terms.</w:t>
      </w:r>
    </w:p>
    <w:p>
      <w:pPr>
        <w:pStyle w:val="Normal"/>
        <w:rPr/>
      </w:pPr>
      <w:r>
        <w:rPr/>
        <w:t>The Administrative Council, in turn, selects a board of officers, comprised of a president, a technical-commercial officer and a finance and management officer.  Copel, as the majority shareholder, is entitled to select the president, while the other shareholders select the technical commercial director and the financial administrator director.  All deliberations of the Board of Officers must be unanimously approved by all board members, so both Gaspart and Petrobas have effective veto control over this body as well.</w:t>
      </w:r>
    </w:p>
    <w:p>
      <w:pPr>
        <w:pStyle w:val="BLKmed1st1"/>
        <w:rPr/>
      </w:pPr>
      <w:r>
        <w:rPr/>
        <w:t>In addition, the company has a five-member Fiscal Council, and Copel, as the majority shareholder, is entitled to appoint three council-members.  The minority shareholders appoint the other two members of the Fiscal Council, which renders opinions on annual reports and proposals of the Administrative Council submitted to the shareholders for their approval.</w:t>
      </w:r>
    </w:p>
    <w:p>
      <w:pPr>
        <w:pStyle w:val="Normal"/>
        <w:rPr>
          <w:b/>
          <w:u w:val="single"/>
        </w:rPr>
      </w:pPr>
      <w:r>
        <w:rPr>
          <w:b/>
          <w:u w:val="single"/>
        </w:rPr>
        <w:t>Other Gaspart LDCs:</w:t>
      </w:r>
    </w:p>
    <w:p>
      <w:pPr>
        <w:pStyle w:val="Normal"/>
        <w:rPr/>
      </w:pPr>
      <w:r>
        <w:rPr/>
        <w:t>Holders of common stock are entitled to participate in the General Shareholder Assembly, and certain corporate actions, including the appointment of corporate officers and individuals to the Administrative Council (or board of directors) require the affirmative vote of at least 66% of the General Shareholder Assembly.  Other corporate actions, including mergers, amendments to the bylaws and dissolutions of the company, require an 80% supermajority of the General Shareholder Assembly.  According to the Shareholders Agreement, the relevant state shall always control 51% of the common shares of each LDC.</w:t>
      </w:r>
    </w:p>
    <w:p>
      <w:pPr>
        <w:pStyle w:val="Normal"/>
        <w:rPr/>
      </w:pPr>
      <w:r>
        <w:rPr/>
        <w:t>The Administrative Council has five members and five alternates, and the relevant state, as the controlling shareholder, is entitled to appoint the president of the administrative council and two additional council members and their alternates.  Gaspart and Petrobas as minority shareholders are entitled to appoint the remaining two members, one of whom shall be the vice president.  Major corporate decisions require the unanimous approval of the Administrative Council, thereby giving both Petrobas and Gaspart effective veto control.  Each member of the Administrative Council is elected for two-year terms.</w:t>
      </w:r>
    </w:p>
    <w:p>
      <w:pPr>
        <w:pStyle w:val="BLKmed1st1"/>
        <w:rPr/>
      </w:pPr>
      <w:r>
        <w:rPr/>
        <w:t>The Administrative Council, in turn, shall select a board of officers, comprised of a president, a technical-commercial officer and a finance and management officer.  The state, as the majority shareholder, is entitled to select the president, while the other shareholders will select the technical commercial director and the financial administrator director.  All deliberations of the Board of Officers must be unanimously approved by all board members, so both Gaspart and Petrobas have effective veto control over this body as well.  In addition, the company will also have a five-member Fiscal Council, and the relevant state, as the majority shareholder, is entitled to appoint three council-members.  The minority shareholders appoint the other two members of the Fiscal Council, which is charged with rendering opinions on annual reports and proposals of the Administrative Council submitted to the shareholders for their approval.</w:t>
      </w:r>
    </w:p>
    <w:p>
      <w:pPr>
        <w:pStyle w:val="BLKmed1st1"/>
        <w:keepLines/>
        <w:rPr/>
      </w:pPr>
      <w:r>
        <w:rPr/>
        <w:t>The governance arrangements in the respective shareholder agreements are summarized in the following chart:</w:t>
      </w:r>
    </w:p>
    <w:p>
      <w:pPr>
        <w:pStyle w:val="TableTitlemed5"/>
        <w:numPr>
          <w:ilvl w:val="0"/>
          <w:numId w:val="0"/>
        </w:numPr>
        <w:jc w:val="center"/>
        <w:outlineLvl w:val="0"/>
        <w:rPr/>
      </w:pPr>
      <w:r>
        <w:rPr/>
        <w:t>Governance</w:t>
      </w:r>
    </w:p>
    <w:p>
      <w:pPr>
        <w:pStyle w:val="BLKmed1st1"/>
        <w:jc w:val="center"/>
        <w:rPr/>
      </w:pPr>
      <w:bookmarkStart w:id="54" w:name="_1015421041"/>
      <w:bookmarkStart w:id="55" w:name="_1015194804"/>
      <w:bookmarkStart w:id="56" w:name="_1015181622"/>
      <w:bookmarkStart w:id="57" w:name="_1014826563"/>
      <w:bookmarkStart w:id="58" w:name="_1014801791"/>
      <w:bookmarkStart w:id="59" w:name="_1013707688"/>
      <w:bookmarkStart w:id="60" w:name="_1013707617"/>
      <w:bookmarkEnd w:id="54"/>
      <w:bookmarkEnd w:id="55"/>
      <w:bookmarkEnd w:id="56"/>
      <w:bookmarkEnd w:id="57"/>
      <w:bookmarkEnd w:id="58"/>
      <w:bookmarkEnd w:id="59"/>
      <w:bookmarkEnd w:id="60"/>
      <w:r>
        <w:rPr/>
        <w:object w:dxaOrig="6466" w:dyaOrig="4786">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323.3pt;height:239.3pt" filled="f" o:ole="">
            <v:imagedata r:id="rId12" o:title=""/>
          </v:shape>
          <o:OLEObject Type="Embed" ProgID="" ShapeID="ole_rId11" DrawAspect="Content" ObjectID="_197724302" r:id="rId11"/>
        </w:object>
      </w:r>
    </w:p>
    <w:p>
      <w:pPr>
        <w:pStyle w:val="BLKmed1st1"/>
        <w:rPr/>
      </w:pPr>
      <w:r>
        <w:rPr>
          <w:rStyle w:val="hidden"/>
        </w:rPr>
        <w:t>Imported from f17g\142567 on 2.19.00</w:t>
      </w:r>
    </w:p>
    <w:p>
      <w:pPr>
        <w:pStyle w:val="Heading3"/>
        <w:ind w:hanging="0" w:start="0"/>
        <w:rPr/>
      </w:pPr>
      <w:r>
        <w:rPr/>
        <w:t>Employees</w:t>
      </w:r>
    </w:p>
    <w:p>
      <w:pPr>
        <w:pStyle w:val="BLKmed1st1"/>
        <w:rPr/>
      </w:pPr>
      <w:r>
        <w:rPr/>
        <w:t>The Gaspart LDCs have the following numbers of employees:</w:t>
      </w:r>
    </w:p>
    <w:tbl>
      <w:tblPr>
        <w:tblW w:w="6660" w:type="dxa"/>
        <w:jc w:val="start"/>
        <w:tblInd w:w="108" w:type="dxa"/>
        <w:tblLayout w:type="fixed"/>
        <w:tblCellMar>
          <w:top w:w="0" w:type="dxa"/>
          <w:start w:w="108" w:type="dxa"/>
          <w:bottom w:w="0" w:type="dxa"/>
          <w:end w:w="108" w:type="dxa"/>
        </w:tblCellMar>
      </w:tblPr>
      <w:tblGrid>
        <w:gridCol w:w="3330"/>
        <w:gridCol w:w="3330"/>
      </w:tblGrid>
      <w:tr>
        <w:trPr>
          <w:tblHeader w:val="true"/>
        </w:trPr>
        <w:tc>
          <w:tcPr>
            <w:tcW w:w="3330" w:type="dxa"/>
            <w:tcBorders>
              <w:top w:val="single" w:sz="4" w:space="0" w:color="000000"/>
              <w:start w:val="single" w:sz="4" w:space="0" w:color="000000"/>
              <w:bottom w:val="single" w:sz="4" w:space="0" w:color="000000"/>
            </w:tcBorders>
            <w:shd w:fill="FFFF00" w:val="clear"/>
          </w:tcPr>
          <w:p>
            <w:pPr>
              <w:pStyle w:val="TableHead"/>
              <w:pBdr>
                <w:bottom w:val="nil"/>
              </w:pBdr>
              <w:jc w:val="start"/>
              <w:rPr>
                <w:sz w:val="18"/>
              </w:rPr>
            </w:pPr>
            <w:r>
              <w:rPr>
                <w:sz w:val="18"/>
              </w:rPr>
              <w:t>Company</w:t>
            </w:r>
          </w:p>
        </w:tc>
        <w:tc>
          <w:tcPr>
            <w:tcW w:w="3330" w:type="dxa"/>
            <w:tcBorders>
              <w:top w:val="single" w:sz="4" w:space="0" w:color="000000"/>
              <w:bottom w:val="single" w:sz="4" w:space="0" w:color="000000"/>
              <w:end w:val="single" w:sz="4" w:space="0" w:color="000000"/>
            </w:tcBorders>
            <w:shd w:fill="FFFF00" w:val="clear"/>
          </w:tcPr>
          <w:p>
            <w:pPr>
              <w:pStyle w:val="TableHead"/>
              <w:pBdr>
                <w:bottom w:val="nil"/>
              </w:pBdr>
              <w:rPr>
                <w:sz w:val="18"/>
              </w:rPr>
            </w:pPr>
            <w:r>
              <w:rPr>
                <w:sz w:val="18"/>
              </w:rPr>
              <w:t>Employees</w:t>
            </w:r>
          </w:p>
        </w:tc>
      </w:tr>
      <w:tr>
        <w:trPr/>
        <w:tc>
          <w:tcPr>
            <w:tcW w:w="3330" w:type="dxa"/>
            <w:tcBorders>
              <w:start w:val="single" w:sz="4" w:space="0" w:color="000000"/>
            </w:tcBorders>
          </w:tcPr>
          <w:p>
            <w:pPr>
              <w:pStyle w:val="TableSpacer"/>
              <w:keepNext w:val="true"/>
              <w:snapToGrid w:val="false"/>
              <w:rPr>
                <w:b/>
                <w:sz w:val="18"/>
              </w:rPr>
            </w:pPr>
            <w:r>
              <w:rPr>
                <w:b/>
                <w:sz w:val="18"/>
              </w:rPr>
            </w:r>
          </w:p>
        </w:tc>
        <w:tc>
          <w:tcPr>
            <w:tcW w:w="3330" w:type="dxa"/>
            <w:tcBorders>
              <w:end w:val="single" w:sz="4" w:space="0" w:color="000000"/>
            </w:tcBorders>
          </w:tcPr>
          <w:p>
            <w:pPr>
              <w:pStyle w:val="TableSpacer"/>
              <w:keepNext w:val="true"/>
              <w:snapToGrid w:val="false"/>
              <w:rPr>
                <w:sz w:val="18"/>
              </w:rPr>
            </w:pPr>
            <w:r>
              <w:rPr>
                <w:sz w:val="18"/>
              </w:rPr>
            </w:r>
          </w:p>
        </w:tc>
      </w:tr>
      <w:tr>
        <w:trPr/>
        <w:tc>
          <w:tcPr>
            <w:tcW w:w="3330" w:type="dxa"/>
            <w:tcBorders>
              <w:start w:val="single" w:sz="4" w:space="0" w:color="000000"/>
            </w:tcBorders>
          </w:tcPr>
          <w:p>
            <w:pPr>
              <w:pStyle w:val="TableBody"/>
              <w:keepNext w:val="true"/>
              <w:jc w:val="both"/>
              <w:rPr>
                <w:sz w:val="18"/>
              </w:rPr>
            </w:pPr>
            <w:r>
              <w:rPr>
                <w:sz w:val="18"/>
              </w:rPr>
              <w:t>PB Gas</w:t>
            </w:r>
          </w:p>
        </w:tc>
        <w:tc>
          <w:tcPr>
            <w:tcW w:w="3330" w:type="dxa"/>
            <w:tcBorders>
              <w:end w:val="single" w:sz="4" w:space="0" w:color="000000"/>
            </w:tcBorders>
          </w:tcPr>
          <w:p>
            <w:pPr>
              <w:pStyle w:val="TableBody"/>
              <w:keepNext w:val="true"/>
              <w:jc w:val="center"/>
              <w:rPr>
                <w:sz w:val="18"/>
              </w:rPr>
            </w:pPr>
            <w:r>
              <w:rPr>
                <w:sz w:val="18"/>
              </w:rPr>
              <w:t>24</w:t>
            </w:r>
          </w:p>
        </w:tc>
      </w:tr>
      <w:tr>
        <w:trPr/>
        <w:tc>
          <w:tcPr>
            <w:tcW w:w="3330" w:type="dxa"/>
            <w:tcBorders>
              <w:start w:val="single" w:sz="4" w:space="0" w:color="000000"/>
            </w:tcBorders>
          </w:tcPr>
          <w:p>
            <w:pPr>
              <w:pStyle w:val="TableBody"/>
              <w:keepNext w:val="true"/>
              <w:jc w:val="both"/>
              <w:rPr>
                <w:sz w:val="18"/>
              </w:rPr>
            </w:pPr>
            <w:r>
              <w:rPr>
                <w:sz w:val="18"/>
              </w:rPr>
              <w:t>Copergas</w:t>
            </w:r>
          </w:p>
        </w:tc>
        <w:tc>
          <w:tcPr>
            <w:tcW w:w="3330" w:type="dxa"/>
            <w:tcBorders>
              <w:end w:val="single" w:sz="4" w:space="0" w:color="000000"/>
            </w:tcBorders>
          </w:tcPr>
          <w:p>
            <w:pPr>
              <w:pStyle w:val="TableBody"/>
              <w:keepNext w:val="true"/>
              <w:jc w:val="center"/>
              <w:rPr>
                <w:sz w:val="18"/>
              </w:rPr>
            </w:pPr>
            <w:r>
              <w:rPr>
                <w:sz w:val="18"/>
              </w:rPr>
              <w:t>17</w:t>
            </w:r>
          </w:p>
        </w:tc>
      </w:tr>
      <w:tr>
        <w:trPr/>
        <w:tc>
          <w:tcPr>
            <w:tcW w:w="3330" w:type="dxa"/>
            <w:tcBorders>
              <w:start w:val="single" w:sz="4" w:space="0" w:color="000000"/>
            </w:tcBorders>
          </w:tcPr>
          <w:p>
            <w:pPr>
              <w:pStyle w:val="TableBody"/>
              <w:keepNext w:val="true"/>
              <w:jc w:val="both"/>
              <w:rPr>
                <w:sz w:val="18"/>
              </w:rPr>
            </w:pPr>
            <w:r>
              <w:rPr>
                <w:sz w:val="18"/>
              </w:rPr>
              <w:t>Algas</w:t>
            </w:r>
          </w:p>
        </w:tc>
        <w:tc>
          <w:tcPr>
            <w:tcW w:w="3330" w:type="dxa"/>
            <w:tcBorders>
              <w:end w:val="single" w:sz="4" w:space="0" w:color="000000"/>
            </w:tcBorders>
          </w:tcPr>
          <w:p>
            <w:pPr>
              <w:pStyle w:val="TableBody"/>
              <w:keepNext w:val="true"/>
              <w:jc w:val="center"/>
              <w:rPr>
                <w:sz w:val="18"/>
              </w:rPr>
            </w:pPr>
            <w:r>
              <w:rPr>
                <w:sz w:val="18"/>
              </w:rPr>
              <w:t>[   ]</w:t>
            </w:r>
          </w:p>
        </w:tc>
      </w:tr>
      <w:tr>
        <w:trPr/>
        <w:tc>
          <w:tcPr>
            <w:tcW w:w="3330" w:type="dxa"/>
            <w:tcBorders>
              <w:start w:val="single" w:sz="4" w:space="0" w:color="000000"/>
            </w:tcBorders>
          </w:tcPr>
          <w:p>
            <w:pPr>
              <w:pStyle w:val="TableBody"/>
              <w:keepNext w:val="true"/>
              <w:jc w:val="both"/>
              <w:rPr>
                <w:sz w:val="18"/>
              </w:rPr>
            </w:pPr>
            <w:r>
              <w:rPr>
                <w:sz w:val="18"/>
              </w:rPr>
              <w:t>Emsergas</w:t>
            </w:r>
          </w:p>
        </w:tc>
        <w:tc>
          <w:tcPr>
            <w:tcW w:w="3330" w:type="dxa"/>
            <w:tcBorders>
              <w:end w:val="single" w:sz="4" w:space="0" w:color="000000"/>
            </w:tcBorders>
          </w:tcPr>
          <w:p>
            <w:pPr>
              <w:pStyle w:val="TableBody"/>
              <w:keepNext w:val="true"/>
              <w:jc w:val="center"/>
              <w:rPr>
                <w:sz w:val="18"/>
              </w:rPr>
            </w:pPr>
            <w:r>
              <w:rPr>
                <w:sz w:val="18"/>
              </w:rPr>
              <w:t>20</w:t>
            </w:r>
          </w:p>
        </w:tc>
      </w:tr>
      <w:tr>
        <w:trPr/>
        <w:tc>
          <w:tcPr>
            <w:tcW w:w="3330" w:type="dxa"/>
            <w:tcBorders>
              <w:start w:val="single" w:sz="4" w:space="0" w:color="000000"/>
            </w:tcBorders>
          </w:tcPr>
          <w:p>
            <w:pPr>
              <w:pStyle w:val="TableBody"/>
              <w:keepNext w:val="true"/>
              <w:jc w:val="both"/>
              <w:rPr>
                <w:sz w:val="18"/>
              </w:rPr>
            </w:pPr>
            <w:r>
              <w:rPr>
                <w:sz w:val="18"/>
              </w:rPr>
              <w:t>Bahiagas</w:t>
            </w:r>
          </w:p>
        </w:tc>
        <w:tc>
          <w:tcPr>
            <w:tcW w:w="3330" w:type="dxa"/>
            <w:tcBorders>
              <w:end w:val="single" w:sz="4" w:space="0" w:color="000000"/>
            </w:tcBorders>
          </w:tcPr>
          <w:p>
            <w:pPr>
              <w:pStyle w:val="TableBody"/>
              <w:keepNext w:val="true"/>
              <w:jc w:val="center"/>
              <w:rPr>
                <w:sz w:val="18"/>
              </w:rPr>
            </w:pPr>
            <w:r>
              <w:rPr>
                <w:sz w:val="18"/>
              </w:rPr>
              <w:t>[   ]</w:t>
            </w:r>
          </w:p>
        </w:tc>
      </w:tr>
      <w:tr>
        <w:trPr/>
        <w:tc>
          <w:tcPr>
            <w:tcW w:w="3330" w:type="dxa"/>
            <w:tcBorders>
              <w:start w:val="single" w:sz="4" w:space="0" w:color="000000"/>
            </w:tcBorders>
          </w:tcPr>
          <w:p>
            <w:pPr>
              <w:pStyle w:val="TableBody"/>
              <w:keepNext w:val="true"/>
              <w:jc w:val="both"/>
              <w:rPr>
                <w:sz w:val="18"/>
              </w:rPr>
            </w:pPr>
            <w:r>
              <w:rPr>
                <w:sz w:val="18"/>
              </w:rPr>
              <w:t>Compagas</w:t>
            </w:r>
          </w:p>
        </w:tc>
        <w:tc>
          <w:tcPr>
            <w:tcW w:w="3330" w:type="dxa"/>
            <w:tcBorders>
              <w:end w:val="single" w:sz="4" w:space="0" w:color="000000"/>
            </w:tcBorders>
          </w:tcPr>
          <w:p>
            <w:pPr>
              <w:pStyle w:val="TableBody"/>
              <w:keepNext w:val="true"/>
              <w:jc w:val="center"/>
              <w:rPr>
                <w:sz w:val="18"/>
              </w:rPr>
            </w:pPr>
            <w:r>
              <w:rPr>
                <w:sz w:val="18"/>
              </w:rPr>
              <w:t>[   ]</w:t>
            </w:r>
          </w:p>
        </w:tc>
      </w:tr>
      <w:tr>
        <w:trPr/>
        <w:tc>
          <w:tcPr>
            <w:tcW w:w="3330" w:type="dxa"/>
            <w:tcBorders>
              <w:start w:val="single" w:sz="4" w:space="0" w:color="000000"/>
            </w:tcBorders>
          </w:tcPr>
          <w:p>
            <w:pPr>
              <w:pStyle w:val="TableBody"/>
              <w:keepNext w:val="true"/>
              <w:jc w:val="both"/>
              <w:rPr>
                <w:sz w:val="18"/>
              </w:rPr>
            </w:pPr>
            <w:r>
              <w:rPr>
                <w:sz w:val="18"/>
              </w:rPr>
              <w:t>SC Gas</w:t>
            </w:r>
          </w:p>
        </w:tc>
        <w:tc>
          <w:tcPr>
            <w:tcW w:w="3330" w:type="dxa"/>
            <w:tcBorders>
              <w:end w:val="single" w:sz="4" w:space="0" w:color="000000"/>
            </w:tcBorders>
          </w:tcPr>
          <w:p>
            <w:pPr>
              <w:pStyle w:val="TableBody"/>
              <w:keepNext w:val="true"/>
              <w:jc w:val="center"/>
              <w:rPr/>
            </w:pPr>
            <w:r>
              <w:rPr>
                <w:sz w:val="18"/>
              </w:rPr>
              <w:t xml:space="preserve">56 </w:t>
            </w:r>
            <w:r>
              <w:rPr>
                <w:sz w:val="18"/>
                <w:vertAlign w:val="superscript"/>
              </w:rPr>
              <w:t>(1)</w:t>
            </w:r>
          </w:p>
        </w:tc>
      </w:tr>
      <w:tr>
        <w:trPr/>
        <w:tc>
          <w:tcPr>
            <w:tcW w:w="3330" w:type="dxa"/>
            <w:tcBorders>
              <w:start w:val="single" w:sz="4" w:space="0" w:color="000000"/>
              <w:bottom w:val="single" w:sz="4" w:space="0" w:color="000000"/>
            </w:tcBorders>
          </w:tcPr>
          <w:p>
            <w:pPr>
              <w:pStyle w:val="TableSpacer"/>
              <w:keepNext w:val="true"/>
              <w:snapToGrid w:val="false"/>
              <w:rPr>
                <w:sz w:val="18"/>
                <w:vertAlign w:val="superscript"/>
              </w:rPr>
            </w:pPr>
            <w:r>
              <w:rPr>
                <w:sz w:val="18"/>
                <w:vertAlign w:val="superscript"/>
              </w:rPr>
            </w:r>
          </w:p>
        </w:tc>
        <w:tc>
          <w:tcPr>
            <w:tcW w:w="3330" w:type="dxa"/>
            <w:tcBorders>
              <w:bottom w:val="single" w:sz="4" w:space="0" w:color="000000"/>
              <w:end w:val="single" w:sz="4" w:space="0" w:color="000000"/>
            </w:tcBorders>
          </w:tcPr>
          <w:p>
            <w:pPr>
              <w:pStyle w:val="TableSpacer"/>
              <w:keepNext w:val="true"/>
              <w:snapToGrid w:val="false"/>
              <w:rPr>
                <w:sz w:val="18"/>
              </w:rPr>
            </w:pPr>
            <w:r>
              <w:rPr>
                <w:sz w:val="18"/>
              </w:rPr>
            </w:r>
          </w:p>
        </w:tc>
      </w:tr>
    </w:tbl>
    <w:p>
      <w:pPr>
        <w:pStyle w:val="Normal"/>
        <w:rPr>
          <w:sz w:val="14"/>
        </w:rPr>
      </w:pPr>
      <w:r>
        <w:rPr>
          <w:sz w:val="14"/>
        </w:rPr>
        <w:t>Note: (1) Projected</w:t>
      </w:r>
    </w:p>
    <w:p>
      <w:pPr>
        <w:pStyle w:val="Heading3"/>
        <w:ind w:hanging="0" w:start="0"/>
        <w:rPr/>
      </w:pPr>
      <w:r>
        <w:rPr/>
        <w:t>Special Considerations</w:t>
      </w:r>
    </w:p>
    <w:p>
      <w:pPr>
        <w:pStyle w:val="Normal"/>
        <w:rPr/>
      </w:pPr>
      <w:r>
        <w:rPr/>
        <w:t>The attorney general of the State of Pernambuco sued to invalidate the supermajority rights of the minority shareholders set forth in the shareholders’ agreement and by-laws among Gaspart, Petrobras and the State. The defendants argued that it was inappropriate for the court to rewrite the parties’ agreements and that such action would evidence the instability of government decisions and would generate uncertainty among investors. The court of first instance granted an injunction in favor of the State that was upheld on appeal. Gaspart has appealed to the three judge appellate court, and a ruling could be issued at any time</w:t>
      </w:r>
    </w:p>
    <w:p>
      <w:pPr>
        <w:pStyle w:val="Heading3"/>
        <w:ind w:hanging="0" w:start="0"/>
        <w:rPr/>
      </w:pPr>
      <w:r>
        <w:rPr/>
        <w:t>Financial Information</w:t>
      </w:r>
    </w:p>
    <w:p>
      <w:pPr>
        <w:pStyle w:val="Normal"/>
        <w:rPr/>
      </w:pPr>
      <w:r>
        <w:rPr/>
      </w:r>
    </w:p>
    <w:p>
      <w:pPr>
        <w:pStyle w:val="Heading4"/>
        <w:ind w:hanging="0" w:start="0"/>
        <w:rPr/>
      </w:pPr>
      <w:r>
        <w:rPr/>
        <w:t>Introduction</w:t>
      </w:r>
    </w:p>
    <w:p>
      <w:pPr>
        <w:pStyle w:val="Normal"/>
        <w:rPr/>
      </w:pPr>
      <w:r>
        <w:rPr/>
      </w:r>
    </w:p>
    <w:p>
      <w:pPr>
        <w:pStyle w:val="Heading4"/>
        <w:ind w:hanging="0" w:start="0"/>
        <w:rPr/>
      </w:pPr>
      <w:r>
        <w:rPr/>
        <w:t>Review of Historical Results (BS+P&amp;L)</w:t>
      </w:r>
    </w:p>
    <w:p>
      <w:pPr>
        <w:pStyle w:val="Normal"/>
        <w:rPr/>
      </w:pPr>
      <w:r>
        <w:rPr/>
      </w:r>
    </w:p>
    <w:p>
      <w:pPr>
        <w:pStyle w:val="Heading4"/>
        <w:ind w:hanging="0" w:start="0"/>
        <w:rPr/>
      </w:pPr>
      <w:r>
        <w:rPr/>
        <w:t>Projections</w:t>
      </w:r>
    </w:p>
    <w:p>
      <w:pPr>
        <w:pStyle w:val="Normal"/>
        <w:rPr/>
      </w:pPr>
      <w:r>
        <w:rPr/>
      </w:r>
    </w:p>
    <w:p>
      <w:pPr>
        <w:pStyle w:val="Heading5"/>
        <w:rPr/>
      </w:pPr>
      <w:r>
        <w:rPr/>
        <w:t>Key Assumptions</w:t>
      </w:r>
    </w:p>
    <w:p>
      <w:pPr>
        <w:pStyle w:val="Normal"/>
        <w:rPr/>
      </w:pPr>
      <w:r>
        <w:rPr/>
      </w:r>
    </w:p>
    <w:p>
      <w:pPr>
        <w:pStyle w:val="Heading5"/>
        <w:rPr/>
      </w:pPr>
      <w:r>
        <w:rPr/>
        <w:t>Results</w:t>
      </w:r>
    </w:p>
    <w:p>
      <w:pPr>
        <w:pStyle w:val="Normal"/>
        <w:rPr/>
      </w:pPr>
      <w:r>
        <w:rPr/>
      </w:r>
    </w:p>
    <w:p>
      <w:pPr>
        <w:pStyle w:val="Heading4"/>
        <w:ind w:hanging="0" w:start="0"/>
        <w:rPr/>
      </w:pPr>
      <w:r>
        <w:rPr/>
        <w:t>Historical and Projected Financial Data</w:t>
      </w:r>
    </w:p>
    <w:p>
      <w:pPr>
        <w:pStyle w:val="Normal"/>
        <w:spacing w:before="0" w:after="220"/>
        <w:rPr/>
      </w:pPr>
      <w:r>
        <w:rPr/>
      </w:r>
    </w:p>
    <w:sectPr>
      <w:headerReference w:type="default" r:id="rId13"/>
      <w:footerReference w:type="default" r:id="rId14"/>
      <w:footnotePr>
        <w:numFmt w:val="decimal"/>
      </w:footnotePr>
      <w:type w:val="nextPage"/>
      <w:pgSz w:w="12240" w:h="15840"/>
      <w:pgMar w:left="4678" w:right="1077" w:gutter="0" w:header="1440" w:top="1496" w:footer="431" w:bottom="1440"/>
      <w:pgNumType w:start="14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IV</w:t>
      <w:tab/>
    </w:r>
    <w:r>
      <w:rPr>
        <w:b/>
      </w:rPr>
      <w:t>Confidential</w:t>
    </w:r>
  </w:p>
  <w:p>
    <w:pPr>
      <w:pStyle w:val="zSection"/>
      <w:tabs>
        <w:tab w:val="clear" w:pos="720"/>
        <w:tab w:val="left" w:pos="2835" w:leader="none"/>
      </w:tabs>
      <w:spacing w:before="0" w:after="240"/>
      <w:rPr/>
    </w:pPr>
    <w:r>
      <w:rPr>
        <w:rFonts w:cs="Arial" w:ascii="Arial" w:hAnsi="Arial"/>
        <w:sz w:val="12"/>
      </w:rPr>
      <w:t>LNCFD/251399/</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9:38</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178</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pBdr>
        <w:bottom w:val="single" w:sz="18" w:space="4" w:color="000000"/>
      </w:pBdr>
      <w:spacing w:lineRule="auto" w:line="240" w:before="0" w:after="280"/>
      <w:ind w:hanging="446" w:start="446" w:end="0"/>
      <w:jc w:val="start"/>
      <w:rPr/>
    </w:pPr>
    <w:r>
      <w:rPr/>
      <w:fldChar w:fldCharType="begin"/>
    </w:r>
    <w:r>
      <w:rPr/>
      <w:instrText xml:space="preserve"> IF  "" ""</w:instrText>
    </w:r>
    <w:r>
      <w:rPr/>
      <w:fldChar w:fldCharType="separate"/>
    </w:r>
    <w:r>
      <w:rPr/>
    </w:r>
    <w:r>
      <w:rPr/>
      <w:fldChar w:fldCharType="end"/>
    </w:r>
    <w:r>
      <w:rPr/>
      <w:t xml:space="preserve">IV. </w:t>
      <w:tab/>
      <w:t>Natural Gas Distribution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360"/>
        </w:tabs>
        <w:ind w:start="360" w:hanging="360"/>
      </w:pPr>
      <w:rPr/>
    </w:lvl>
  </w:abstractNum>
  <w:abstractNum w:abstractNumId="3">
    <w:lvl w:ilvl="0">
      <w:start w:val="2004"/>
      <w:numFmt w:val="decimal"/>
      <w:lvlText w:val="%1"/>
      <w:lvlJc w:val="start"/>
      <w:pPr>
        <w:tabs>
          <w:tab w:val="num" w:pos="852"/>
        </w:tabs>
        <w:ind w:start="852" w:hanging="852"/>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360" w:hanging="360"/>
      </w:pPr>
      <w:rPr>
        <w:rFonts w:ascii="Times New Roman" w:hAnsi="Times New Roman" w:cs="Times New Roman"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4"/>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9"/>
      </w:numPr>
      <w:jc w:val="start"/>
      <w:outlineLvl w:val="0"/>
    </w:pPr>
    <w:rPr>
      <w:kern w:val="2"/>
    </w:rPr>
  </w:style>
  <w:style w:type="paragraph" w:styleId="Heading2">
    <w:name w:val="heading 2"/>
    <w:basedOn w:val="Normal"/>
    <w:next w:val="Normal"/>
    <w:qFormat/>
    <w:pPr>
      <w:keepNext w:val="true"/>
      <w:numPr>
        <w:ilvl w:val="1"/>
        <w:numId w:val="1"/>
      </w:numPr>
      <w:jc w:val="start"/>
      <w:outlineLvl w:val="1"/>
    </w:pPr>
    <w:rPr/>
  </w:style>
  <w:style w:type="paragraph" w:styleId="Heading3">
    <w:name w:val="heading 3"/>
    <w:basedOn w:val="Normal"/>
    <w:next w:val="Normal"/>
    <w:qFormat/>
    <w:pPr>
      <w:keepNext w:val="true"/>
      <w:numPr>
        <w:ilvl w:val="2"/>
        <w:numId w:val="1"/>
      </w:numPr>
      <w:jc w:val="start"/>
      <w:outlineLvl w:val="2"/>
    </w:pPr>
    <w:rPr/>
  </w:style>
  <w:style w:type="paragraph" w:styleId="Heading4">
    <w:name w:val="heading 4"/>
    <w:basedOn w:val="Normal"/>
    <w:next w:val="Normal"/>
    <w:qFormat/>
    <w:pPr>
      <w:keepNext w:val="true"/>
      <w:numPr>
        <w:ilvl w:val="3"/>
        <w:numId w:val="1"/>
      </w:numPr>
      <w:jc w:val="start"/>
      <w:outlineLvl w:val="3"/>
    </w:pPr>
    <w:rPr>
      <w:i/>
    </w:rPr>
  </w:style>
  <w:style w:type="paragraph" w:styleId="Heading5">
    <w:name w:val="heading 5"/>
    <w:basedOn w:val="Normal"/>
    <w:next w:val="Normal"/>
    <w:qFormat/>
    <w:pPr>
      <w:keepNext w:val="true"/>
      <w:numPr>
        <w:ilvl w:val="4"/>
        <w:numId w:val="1"/>
      </w:numPr>
      <w:spacing w:before="220" w:after="160"/>
      <w:ind w:hanging="0" w:start="0" w:end="0"/>
      <w:outlineLvl w:val="4"/>
    </w:pPr>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color w:val="auto"/>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3z0">
    <w:name w:val="WW8Num13z0"/>
    <w:qFormat/>
    <w:rPr>
      <w:i/>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und">
    <w:name w:val="und"/>
    <w:qFormat/>
    <w:rPr>
      <w:u w:val="single"/>
    </w:rPr>
  </w:style>
  <w:style w:type="character" w:styleId="hidden">
    <w:name w:val="hidden"/>
    <w:basedOn w:val="DefaultParagraphFont"/>
    <w:qFormat/>
    <w:rPr>
      <w:vanish/>
      <w:color w:val="FF00FF"/>
    </w:rPr>
  </w:style>
  <w:style w:type="character" w:styleId="boldund">
    <w:name w:val="bold und"/>
    <w:qFormat/>
    <w:rPr>
      <w:b/>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LKmed1st1">
    <w:name w:val="BLK/med/1st/1"/>
    <w:basedOn w:val="Normal"/>
    <w:qFormat/>
    <w:pPr/>
    <w:rPr>
      <w:lang w:val="en-US"/>
    </w:rPr>
  </w:style>
  <w:style w:type="paragraph" w:styleId="BLKmed1st5">
    <w:name w:val="BLK/med/1st/.5"/>
    <w:basedOn w:val="Normal"/>
    <w:qFormat/>
    <w:pPr>
      <w:spacing w:before="0" w:after="110"/>
    </w:pPr>
    <w:rPr>
      <w:lang w:val="en-US"/>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Bmed1st1">
    <w:name w:val="B/med/1st/1"/>
    <w:basedOn w:val="Normal"/>
    <w:qFormat/>
    <w:pPr>
      <w:numPr>
        <w:ilvl w:val="0"/>
        <w:numId w:val="10"/>
      </w:numPr>
      <w:spacing w:lineRule="auto" w:line="240"/>
    </w:pPr>
    <w:rPr>
      <w:lang w:val="en-US"/>
    </w:rPr>
  </w:style>
  <w:style w:type="paragraph" w:styleId="TOC1">
    <w:name w:val="toc 1"/>
    <w:basedOn w:val="Normal"/>
    <w:next w:val="Normal"/>
    <w:pPr/>
    <w:rPr/>
  </w:style>
  <w:style w:type="paragraph" w:styleId="TableHeadSpace">
    <w:name w:val="Table Head Space"/>
    <w:basedOn w:val="TableBody"/>
    <w:qFormat/>
    <w:pPr>
      <w:keepNext w:val="true"/>
      <w:keepLines/>
      <w:spacing w:lineRule="exact" w:line="120"/>
    </w:pPr>
    <w:rPr>
      <w:caps/>
      <w:sz w:val="12"/>
    </w:rPr>
  </w:style>
  <w:style w:type="paragraph" w:styleId="TableTitlemed5">
    <w:name w:val="Table Title/med/.5"/>
    <w:basedOn w:val="Normal"/>
    <w:qFormat/>
    <w:pPr>
      <w:keepNext w:val="true"/>
      <w:keepLines/>
      <w:spacing w:lineRule="auto" w:line="240" w:before="0" w:after="100"/>
      <w:jc w:val="start"/>
    </w:pPr>
    <w:rPr>
      <w:rFonts w:ascii="Arial Narrow" w:hAnsi="Arial Narrow" w:cs="Arial Narrow"/>
      <w:b/>
      <w:sz w:val="20"/>
      <w:lang w:val="en-US"/>
    </w:rPr>
  </w:style>
  <w:style w:type="paragraph" w:styleId="Bmed1st0">
    <w:name w:val="B/med/1st/0"/>
    <w:basedOn w:val="Normalmed"/>
    <w:qFormat/>
    <w:pPr>
      <w:numPr>
        <w:ilvl w:val="0"/>
        <w:numId w:val="5"/>
      </w:numPr>
    </w:pPr>
    <w:rPr/>
  </w:style>
  <w:style w:type="paragraph" w:styleId="Bmed1st5">
    <w:name w:val="B/med/1st/.5"/>
    <w:basedOn w:val="Bmed1st0"/>
    <w:qFormat/>
    <w:pPr>
      <w:spacing w:before="0" w:after="110"/>
    </w:pPr>
    <w:rPr/>
  </w:style>
  <w:style w:type="paragraph" w:styleId="Bmed2nd0">
    <w:name w:val="B/med/2nd/0"/>
    <w:basedOn w:val="Normalmed"/>
    <w:qFormat/>
    <w:pPr>
      <w:numPr>
        <w:ilvl w:val="0"/>
        <w:numId w:val="7"/>
      </w:numPr>
    </w:pPr>
    <w:rPr/>
  </w:style>
  <w:style w:type="paragraph" w:styleId="TableSpacer">
    <w:name w:val="Table Spacer"/>
    <w:basedOn w:val="TableBody"/>
    <w:qFormat/>
    <w:pPr>
      <w:spacing w:lineRule="exact" w:line="120"/>
    </w:pPr>
    <w:rPr/>
  </w:style>
  <w:style w:type="paragraph" w:styleId="tabletitles">
    <w:name w:val="$table titles"/>
    <w:basedOn w:val="Normal"/>
    <w:qFormat/>
    <w:pPr>
      <w:keepNext w:val="true"/>
      <w:spacing w:lineRule="auto" w:line="240" w:before="0" w:after="0"/>
      <w:jc w:val="start"/>
    </w:pPr>
    <w:rPr>
      <w:b/>
      <w:u w:val="single"/>
      <w:lang w:val="en-US"/>
    </w:rPr>
  </w:style>
  <w:style w:type="paragraph" w:styleId="BLKmed1st0">
    <w:name w:val="BLK/med/1st/0"/>
    <w:basedOn w:val="Normalmed"/>
    <w:qFormat/>
    <w:pPr>
      <w:spacing w:lineRule="auto" w:line="300"/>
    </w:pPr>
    <w:rPr/>
  </w:style>
  <w:style w:type="paragraph" w:styleId="FootnoteText">
    <w:name w:val="footnote text"/>
    <w:basedOn w:val="Normal"/>
    <w:pPr>
      <w:spacing w:lineRule="auto" w:line="240" w:before="0" w:after="0"/>
      <w:jc w:val="start"/>
    </w:pPr>
    <w:rPr>
      <w:sz w:val="2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3.wmf"/><Relationship Id="rId7" Type="http://schemas.openxmlformats.org/officeDocument/2006/relationships/oleObject" Target="embeddings/oleObject3.bin"/><Relationship Id="rId8" Type="http://schemas.openxmlformats.org/officeDocument/2006/relationships/image" Target="media/image4.wmf"/><Relationship Id="rId9" Type="http://schemas.openxmlformats.org/officeDocument/2006/relationships/oleObject" Target="embeddings/oleObject4.bin"/><Relationship Id="rId10" Type="http://schemas.openxmlformats.org/officeDocument/2006/relationships/image" Target="media/image5.wmf"/><Relationship Id="rId11" Type="http://schemas.openxmlformats.org/officeDocument/2006/relationships/oleObject" Target="embeddings/oleObject5.bin"/><Relationship Id="rId12" Type="http://schemas.openxmlformats.org/officeDocument/2006/relationships/image" Target="media/image6.wm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2000-03-24T14:58:00Z</dcterms:created>
  <dc:creator>Patrick Gylling</dc:creator>
  <dc:description/>
  <dc:language>en-CA</dc:language>
  <cp:lastModifiedBy>SVC_ParkStreet</cp:lastModifiedBy>
  <cp:lastPrinted>2000-03-24T17:17:00Z</cp:lastPrinted>
  <dcterms:modified xsi:type="dcterms:W3CDTF">2000-03-24T15:19:00Z</dcterms:modified>
  <cp:revision>3</cp:revision>
  <dc:subject/>
  <dc:title>1 Section IV</dc:title>
</cp:coreProperties>
</file>