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5.xml" ContentType="application/vnd.openxmlformats-officedocument.wordprocessingml.header+xml"/>
  <Override PartName="/word/embeddings/oleObject1.bin" ContentType="application/vnd.openxmlformats-officedocument.oleObject"/>
  <Override PartName="/word/document.xml" ContentType="application/vnd.openxmlformats-officedocument.wordprocessingml.document.main+xml"/>
  <Override PartName="/word/fontTable.xml" ContentType="application/vnd.openxmlformats-officedocument.wordprocessingml.fontTable+xml"/>
  <Override PartName="/word/header6.xml" ContentType="application/vnd.openxmlformats-officedocument.wordprocessingml.header+xml"/>
  <Override PartName="/word/numbering.xml" ContentType="application/vnd.openxmlformats-officedocument.wordprocessingml.numbering+xml"/>
  <Override PartName="/word/footer6.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png" ContentType="image/png"/>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med1st5"/>
        <w:spacing w:lineRule="auto" w:line="300" w:before="0" w:after="220"/>
        <w:rPr/>
      </w:pPr>
      <w:r>
        <w:rPr/>
        <w:t>This Memorandum describes certain key aspects of the assets, business, strategic position and prospects of Enron’s energy transportation, generation and distribution assets and the supply businesses associated with these assets (“SoCal”) in Argentina, Bolivia and Brazil (the “Southern Region”).  This Memorandum also contains historic financial information of SoCal in relation to 1998 and 1999 and financial projections for the period 2000-2004. A description of the key assumptions underlying the financial projections is provided.</w:t>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ragraph">
                  <wp:posOffset>635</wp:posOffset>
                </wp:positionV>
                <wp:extent cx="192087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1920875" cy="160655"/>
                        </a:xfrm>
                        <a:prstGeom prst="rect"/>
                        <a:solidFill>
                          <a:srgbClr val="FFFFFF">
                            <a:alpha val="0"/>
                          </a:srgbClr>
                        </a:solidFill>
                      </wps:spPr>
                      <wps:txbx>
                        <w:txbxContent>
                          <w:p>
                            <w:pPr>
                              <w:pStyle w:val="zSideBar"/>
                              <w:rPr/>
                            </w:pPr>
                            <w:r>
                              <w:rPr/>
                              <w:t>Introduction</w:t>
                            </w:r>
                          </w:p>
                        </w:txbxContent>
                      </wps:txbx>
                      <wps:bodyPr anchor="t" lIns="0" tIns="0" rIns="0" bIns="0">
                        <a:noAutofit/>
                      </wps:bodyPr>
                    </wps:wsp>
                  </a:graphicData>
                </a:graphic>
              </wp:anchor>
            </w:drawing>
          </mc:Choice>
          <mc:Fallback>
            <w:pict>
              <v:rect fillcolor="#FFFFFF" style="position:absolute;rotation:-0;width:151.25pt;height:12.65pt;mso-wrap-distance-left:0pt;mso-wrap-distance-right:0pt;mso-wrap-distance-top:0pt;mso-wrap-distance-bottom:0pt;margin-top:0.05pt;mso-position-vertical-relative:text;margin-left:72.05pt;mso-position-horizontal-relative:page">
                <v:fill opacity="0f"/>
                <v:textbox inset="0in,0in,0in,0in">
                  <w:txbxContent>
                    <w:p>
                      <w:pPr>
                        <w:pStyle w:val="zSideBar"/>
                        <w:rPr/>
                      </w:pPr>
                      <w:r>
                        <w:rPr/>
                        <w:t>Introduction</w:t>
                      </w:r>
                    </w:p>
                  </w:txbxContent>
                </v:textbox>
                <w10:wrap type="square"/>
              </v:rect>
            </w:pict>
          </mc:Fallback>
        </mc:AlternateContent>
      </w:r>
    </w:p>
    <w:p>
      <w:pPr>
        <w:pStyle w:val="Bmed1st5"/>
        <w:spacing w:lineRule="auto" w:line="300" w:before="0" w:after="120"/>
        <w:rPr/>
      </w:pPr>
      <w:r>
        <w:rPr/>
        <w:t>SoCal represents a highly profitable and cashflow positive portfolio of assets providing substantial regional critical mass and a unique platform for the development of a preeminent gas and electric energy business in the rapidly growing South American market.  Enron has recognized the opportunities for substantial growth in natural gas demand in this market resulting from the following factors:</w:t>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ragraph">
                  <wp:posOffset>635</wp:posOffset>
                </wp:positionV>
                <wp:extent cx="1920875" cy="160655"/>
                <wp:effectExtent l="0" t="0" r="0" b="0"/>
                <wp:wrapSquare wrapText="bothSides"/>
                <wp:docPr id="2" name="Frame2"/>
                <a:graphic xmlns:a="http://schemas.openxmlformats.org/drawingml/2006/main">
                  <a:graphicData uri="http://schemas.microsoft.com/office/word/2010/wordprocessingShape">
                    <wps:wsp>
                      <wps:cNvSpPr txBox="1"/>
                      <wps:spPr>
                        <a:xfrm>
                          <a:off x="0" y="0"/>
                          <a:ext cx="1920875" cy="160655"/>
                        </a:xfrm>
                        <a:prstGeom prst="rect"/>
                        <a:solidFill>
                          <a:srgbClr val="FFFFFF">
                            <a:alpha val="0"/>
                          </a:srgbClr>
                        </a:solidFill>
                      </wps:spPr>
                      <wps:txbx>
                        <w:txbxContent>
                          <w:p>
                            <w:pPr>
                              <w:pStyle w:val="zSideBar"/>
                              <w:rPr/>
                            </w:pPr>
                            <w:r>
                              <w:rPr/>
                              <w:t>Summary Business Description</w:t>
                            </w:r>
                          </w:p>
                        </w:txbxContent>
                      </wps:txbx>
                      <wps:bodyPr anchor="t" lIns="0" tIns="0" rIns="0" bIns="0">
                        <a:noAutofit/>
                      </wps:bodyPr>
                    </wps:wsp>
                  </a:graphicData>
                </a:graphic>
              </wp:anchor>
            </w:drawing>
          </mc:Choice>
          <mc:Fallback>
            <w:pict>
              <v:rect fillcolor="#FFFFFF" style="position:absolute;rotation:-0;width:151.25pt;height:12.65pt;mso-wrap-distance-left:0pt;mso-wrap-distance-right:0pt;mso-wrap-distance-top:0pt;mso-wrap-distance-bottom:0pt;margin-top:0.05pt;mso-position-vertical-relative:text;margin-left:72.05pt;mso-position-horizontal-relative:page">
                <v:fill opacity="0f"/>
                <v:textbox inset="0in,0in,0in,0in">
                  <w:txbxContent>
                    <w:p>
                      <w:pPr>
                        <w:pStyle w:val="zSideBar"/>
                        <w:rPr/>
                      </w:pPr>
                      <w:r>
                        <w:rPr/>
                        <w:t>Summary Business Description</w:t>
                      </w:r>
                    </w:p>
                  </w:txbxContent>
                </v:textbox>
                <w10:wrap type="square"/>
              </v:rect>
            </w:pict>
          </mc:Fallback>
        </mc:AlternateContent>
      </w:r>
    </w:p>
    <w:p>
      <w:pPr>
        <w:pStyle w:val="Bmed1st0"/>
        <w:numPr>
          <w:ilvl w:val="0"/>
          <w:numId w:val="14"/>
        </w:numPr>
        <w:spacing w:before="0" w:after="120"/>
        <w:ind w:hanging="0" w:start="0"/>
        <w:rPr/>
      </w:pPr>
      <w:r>
        <w:rPr/>
        <w:t>the discovery of large natural gas reserves in the Southern Region;</w:t>
      </w:r>
    </w:p>
    <w:p>
      <w:pPr>
        <w:pStyle w:val="Bmed1st0"/>
        <w:numPr>
          <w:ilvl w:val="0"/>
          <w:numId w:val="14"/>
        </w:numPr>
        <w:spacing w:before="0" w:after="120"/>
        <w:ind w:hanging="0" w:start="0"/>
        <w:rPr/>
      </w:pPr>
      <w:r>
        <w:rPr/>
        <w:t>the region’s fundamental shift away from volatile and unpredictable hydroelectric generation to gas-fired thermal plants to meet its electricity needs;</w:t>
      </w:r>
    </w:p>
    <w:p>
      <w:pPr>
        <w:pStyle w:val="Bmed1st0"/>
        <w:numPr>
          <w:ilvl w:val="0"/>
          <w:numId w:val="14"/>
        </w:numPr>
        <w:spacing w:before="0" w:after="120"/>
        <w:ind w:hanging="0" w:start="0"/>
        <w:rPr/>
      </w:pPr>
      <w:r>
        <w:rPr/>
        <w:t xml:space="preserve">the completion of large infrastructure projects linking the region’s gas reserves to its major markets; </w:t>
      </w:r>
    </w:p>
    <w:p>
      <w:pPr>
        <w:pStyle w:val="Bmed1st0"/>
        <w:numPr>
          <w:ilvl w:val="0"/>
          <w:numId w:val="14"/>
        </w:numPr>
        <w:spacing w:before="0" w:after="120"/>
        <w:ind w:hanging="0" w:start="0"/>
        <w:rPr/>
      </w:pPr>
      <w:r>
        <w:rPr/>
        <w:t>the increasing predominance of private sector ownership of assets throughout the energy value chain; and</w:t>
      </w:r>
    </w:p>
    <w:p>
      <w:pPr>
        <w:pStyle w:val="Bmed1st0"/>
        <w:numPr>
          <w:ilvl w:val="0"/>
          <w:numId w:val="14"/>
        </w:numPr>
        <w:spacing w:before="0" w:after="120"/>
        <w:ind w:hanging="0" w:start="0"/>
        <w:rPr/>
      </w:pPr>
      <w:r>
        <w:rPr/>
        <w:t xml:space="preserve">the increasing awareness of the environmental advantages of natural gas.  </w:t>
      </w:r>
    </w:p>
    <w:p>
      <w:pPr>
        <w:pStyle w:val="Bmed1st5"/>
        <w:spacing w:lineRule="auto" w:line="300" w:before="0" w:after="220"/>
        <w:rPr/>
      </w:pPr>
      <w:r>
        <w:rPr/>
        <w:t>In implementing its business strategy for the Southern Region, Enron has recognized the superior value proposition in influencing/participating in/owning interests in numerous sources of growing demand for natural gas in the region.  Enron has sought to capture this increasing demand for natural gas by pursuing acquisition, concession and contract opportunities within the region based on the ownership and operation both of natural gas pipelines and distribution assets, and of power generation and distribution assets.  Through these acquisitions, concessions and contracts, SoCal has achieved vertical and cross-commodity integration in the gas and electric markets and regional integration in the Southern Region.</w:t>
      </w:r>
    </w:p>
    <w:p>
      <w:pPr>
        <w:pStyle w:val="Bmed1st5"/>
        <w:spacing w:lineRule="auto" w:line="300" w:before="0" w:after="220"/>
        <w:rPr/>
      </w:pPr>
      <w:r>
        <w:rPr/>
        <w:t>In effect, SoCal represents a large “short” position for gas, which has contractual certainty as a supplier and distributor of gas and electricity and has secured access to the rapidly growing gas markets in the Southern Region as a result of its participation in Brazilian gas and electric local distribution companies (“LDCs”) and regional pipeline projects.  In addition, Enron has positioned SoCal to exploit significant regulatory and physical bottlenecks caused by: 1) the closed-access nature of its gas LDCs; 2) the regulatory and contractual constraints on the Bolivia to Brazil Pipeline (“BBPL”) and the environmental and other limitations on the construction of new pipelines; and 3) Enron’s controlling and co-controlling positions in effectively all of the assets that comprise SoCal.  These factors, when combined with the flexibility of the terms of gas supply to the LDCs and the interruptibility of LDCs customer base, give SoCal highly valuable optionality and significant competitive advantages in the Southern Region energy market.</w:t>
      </w:r>
    </w:p>
    <w:p>
      <w:pPr>
        <w:pStyle w:val="Bmed1st5"/>
        <w:spacing w:lineRule="auto" w:line="300"/>
        <w:rPr/>
      </w:pPr>
      <w:r>
        <w:rPr/>
        <w:t>In addition to the standalone growth potential of its asset portfolio, SoCal also provides an excellent platform for realizing value from the worldwide gas and power convergence opportunities.  The electricity and natural gas industries of Brazil and other countries in the region are rapidly converging.  In fact, the Southern Region provides a solid practical opportunity to benefit from the worldwide gas to power convergence trend.  Ownership of SoCal will provide significant commercial opportunities (much greater than those available in non-hydro dominated markets) resulting from the interaction of:</w:t>
      </w:r>
    </w:p>
    <w:p>
      <w:pPr>
        <w:pStyle w:val="Bmed1st0"/>
        <w:numPr>
          <w:ilvl w:val="0"/>
          <w:numId w:val="14"/>
        </w:numPr>
        <w:spacing w:before="0" w:after="220"/>
        <w:ind w:hanging="0" w:start="0"/>
        <w:rPr/>
      </w:pPr>
      <w:r>
        <w:rPr/>
        <w:t>capital intensive but low marginal cost hydropower generation;</w:t>
      </w:r>
    </w:p>
    <w:p>
      <w:pPr>
        <w:pStyle w:val="Bmed1st0"/>
        <w:numPr>
          <w:ilvl w:val="0"/>
          <w:numId w:val="14"/>
        </w:numPr>
        <w:spacing w:before="0" w:after="220"/>
        <w:ind w:hanging="0" w:start="0"/>
        <w:rPr/>
      </w:pPr>
      <w:r>
        <w:rPr/>
        <w:t>higher marginal cost, less capital intensive, gas-fired thermal generation;</w:t>
      </w:r>
    </w:p>
    <w:p>
      <w:pPr>
        <w:pStyle w:val="Bmed1st0"/>
        <w:numPr>
          <w:ilvl w:val="0"/>
          <w:numId w:val="14"/>
        </w:numPr>
        <w:spacing w:before="0" w:after="220"/>
        <w:ind w:hanging="0" w:start="0"/>
        <w:rPr/>
      </w:pPr>
      <w:r>
        <w:rPr/>
        <w:t xml:space="preserve">interruptible gas supplies and markets;  </w:t>
      </w:r>
    </w:p>
    <w:p>
      <w:pPr>
        <w:pStyle w:val="Bmed1st0"/>
        <w:numPr>
          <w:ilvl w:val="0"/>
          <w:numId w:val="14"/>
        </w:numPr>
        <w:spacing w:before="0" w:after="220"/>
        <w:ind w:hanging="0" w:start="0"/>
        <w:rPr/>
      </w:pPr>
      <w:r>
        <w:rPr/>
        <w:t xml:space="preserve">large volumes of secondary hydroelectricity; and  </w:t>
      </w:r>
    </w:p>
    <w:p>
      <w:pPr>
        <w:pStyle w:val="Bmed1st0"/>
        <w:numPr>
          <w:ilvl w:val="0"/>
          <w:numId w:val="14"/>
        </w:numPr>
        <w:spacing w:before="0" w:after="220"/>
        <w:ind w:hanging="0" w:start="0"/>
        <w:rPr/>
      </w:pPr>
      <w:r>
        <w:rPr/>
        <w:t>largely closed-access markets and flexible gas sale contracts that provide the opportunity to switch gas between the power generation and LDC markets.</w:t>
      </w:r>
      <w:r>
        <w:br w:type="page"/>
      </w:r>
    </w:p>
    <w:p>
      <w:pPr>
        <w:pStyle w:val="Bmed1st0"/>
        <w:numPr>
          <w:ilvl w:val="0"/>
          <w:numId w:val="0"/>
        </w:numPr>
        <w:spacing w:before="0" w:after="220"/>
        <w:ind w:hanging="0" w:start="0"/>
        <w:rPr/>
      </w:pPr>
      <w:r>
        <w:rPr/>
        <w:t xml:space="preserve">In summary, SoCal comprises an integrated portfolio of energy assets focused on the transportation, generation and distribution and associated supply of natural gas and electricity in the Southern Region.  It is a market-driven franchise which will add significant value to any acquiror of its businesses as a result of: </w:t>
      </w:r>
    </w:p>
    <w:p>
      <w:pPr>
        <w:pStyle w:val="Bmed1st0"/>
        <w:numPr>
          <w:ilvl w:val="0"/>
          <w:numId w:val="14"/>
        </w:numPr>
        <w:spacing w:before="0" w:after="220"/>
        <w:ind w:hanging="357" w:start="357" w:end="0"/>
        <w:rPr/>
      </w:pPr>
      <w:r>
        <w:rPr/>
        <w:t>Its strong market presence through the ownership of controlling or co-controlling positions in a broad range of inter-related sectors.</w:t>
      </w:r>
    </w:p>
    <w:p>
      <w:pPr>
        <w:pStyle w:val="Bmed1st0"/>
        <w:numPr>
          <w:ilvl w:val="0"/>
          <w:numId w:val="14"/>
        </w:numPr>
        <w:spacing w:before="0" w:after="220"/>
        <w:ind w:hanging="357" w:start="357" w:end="0"/>
        <w:rPr/>
      </w:pPr>
      <w:r>
        <w:rPr/>
        <w:t>Its distinct ability to exploit the gas to power convergence as a function of the complementary relationship between gas-fired capacity and hydroelectric capacity; and</w:t>
      </w:r>
    </w:p>
    <w:p>
      <w:pPr>
        <w:pStyle w:val="Bmed1st0"/>
        <w:numPr>
          <w:ilvl w:val="0"/>
          <w:numId w:val="14"/>
        </w:numPr>
        <w:spacing w:before="0" w:after="220"/>
        <w:ind w:hanging="357" w:start="357" w:end="0"/>
        <w:rPr/>
      </w:pPr>
      <w:r>
        <w:rPr/>
        <w:t>Strong current cashflows and net income with exceptional growth prospects over both the near and long term [based on market penetration growth rates as well as strong GDP growth rates].</w:t>
      </w:r>
    </w:p>
    <w:p>
      <w:pPr>
        <w:sectPr>
          <w:headerReference w:type="default" r:id="rId2"/>
          <w:headerReference w:type="first" r:id="rId3"/>
          <w:footerReference w:type="default" r:id="rId4"/>
          <w:footerReference w:type="first" r:id="rId5"/>
          <w:type w:val="nextPage"/>
          <w:pgSz w:w="12240" w:h="15840"/>
          <w:pgMar w:left="4680" w:right="1080" w:gutter="0" w:header="1440" w:top="1496" w:footer="432" w:bottom="1440"/>
          <w:pgNumType w:fmt="decimal"/>
          <w:formProt w:val="false"/>
          <w:titlePg/>
          <w:textDirection w:val="lrTb"/>
          <w:docGrid w:type="default" w:linePitch="360" w:charSpace="0"/>
        </w:sectPr>
        <w:pStyle w:val="Bmed1st0"/>
        <w:numPr>
          <w:ilvl w:val="0"/>
          <w:numId w:val="0"/>
        </w:numPr>
        <w:spacing w:before="0" w:after="220"/>
        <w:ind w:hanging="0" w:start="0"/>
        <w:rPr/>
      </w:pPr>
      <w:r>
        <w:rPr/>
        <w:t>The map below shows the location and key characteristics of SoCal’s assets:</w:t>
      </w:r>
    </w:p>
    <w:p>
      <w:pPr>
        <w:pStyle w:val="Bmed1st5"/>
        <w:spacing w:lineRule="auto" w:line="300" w:before="0" w:after="220"/>
        <w:jc w:val="center"/>
        <w:rPr>
          <w:sz w:val="24"/>
        </w:rPr>
      </w:pPr>
      <w:r>
        <w:rPr>
          <w:sz w:val="24"/>
        </w:rPr>
        <w:drawing>
          <wp:inline distT="0" distB="0" distL="0" distR="0">
            <wp:extent cx="4109720" cy="5048885"/>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6"/>
                    <a:srcRect l="-7" t="-5" r="-7" b="-5"/>
                    <a:stretch>
                      <a:fillRect/>
                    </a:stretch>
                  </pic:blipFill>
                  <pic:spPr bwMode="auto">
                    <a:xfrm>
                      <a:off x="0" y="0"/>
                      <a:ext cx="4109720" cy="5048885"/>
                    </a:xfrm>
                    <a:prstGeom prst="rect">
                      <a:avLst/>
                    </a:prstGeom>
                    <a:noFill/>
                  </pic:spPr>
                </pic:pic>
              </a:graphicData>
            </a:graphic>
          </wp:inline>
        </w:drawing>
      </w:r>
    </w:p>
    <w:p>
      <w:pPr>
        <w:pStyle w:val="BLKmed1st11"/>
        <w:spacing w:before="0" w:after="0"/>
        <w:jc w:val="center"/>
        <w:rPr/>
      </w:pPr>
      <w:r>
        <w:rPr>
          <w:rStyle w:val="hidden"/>
        </w:rPr>
        <w:t>File inserted from PCDOCs 251267 20/03/00</w:t>
      </w:r>
      <w:r>
        <w:br w:type="page"/>
      </w:r>
    </w:p>
    <w:p>
      <w:pPr>
        <w:pStyle w:val="Bmed1st5"/>
        <w:spacing w:lineRule="auto" w:line="300" w:before="0" w:after="220"/>
        <w:rPr/>
      </w:pPr>
      <w:r>
        <w:rPr/>
        <w:t>More detailed information on SoCal is provided in Sections II, III, IV and V of this Volume I. Summary descriptions of each of SoCal’s assets are provided below:</w:t>
      </w:r>
    </w:p>
    <w:p>
      <w:pPr>
        <w:pStyle w:val="Normal"/>
        <w:spacing w:before="0" w:after="220"/>
        <w:jc w:val="both"/>
        <w:rPr>
          <w:u w:val="single"/>
        </w:rPr>
      </w:pPr>
      <w:r>
        <w:rPr>
          <w:u w:val="single"/>
        </w:rPr>
        <w:t>Natural Gas Pipelines</w:t>
      </w:r>
    </w:p>
    <w:tbl>
      <w:tblPr>
        <w:tblW w:w="6696" w:type="dxa"/>
        <w:jc w:val="center"/>
        <w:tblInd w:w="0" w:type="dxa"/>
        <w:tblLayout w:type="fixed"/>
        <w:tblCellMar>
          <w:top w:w="0" w:type="dxa"/>
          <w:start w:w="108" w:type="dxa"/>
          <w:bottom w:w="0" w:type="dxa"/>
          <w:end w:w="108" w:type="dxa"/>
        </w:tblCellMar>
      </w:tblPr>
      <w:tblGrid>
        <w:gridCol w:w="1368"/>
        <w:gridCol w:w="2664"/>
        <w:gridCol w:w="2664"/>
      </w:tblGrid>
      <w:tr>
        <w:trPr/>
        <w:tc>
          <w:tcPr>
            <w:tcW w:w="1368" w:type="dxa"/>
            <w:tcBorders>
              <w:top w:val="single" w:sz="4" w:space="0" w:color="000000"/>
              <w:start w:val="single" w:sz="4" w:space="0" w:color="000000"/>
              <w:bottom w:val="single" w:sz="4" w:space="0" w:color="000000"/>
            </w:tcBorders>
            <w:shd w:fill="FFFF00" w:val="clear"/>
            <w:vAlign w:val="bottom"/>
          </w:tcPr>
          <w:p>
            <w:pPr>
              <w:pStyle w:val="TableBody"/>
              <w:spacing w:before="60" w:after="60"/>
              <w:jc w:val="center"/>
              <w:rPr>
                <w:b/>
              </w:rPr>
            </w:pPr>
            <w:r>
              <w:rPr>
                <w:b/>
              </w:rPr>
              <w:t>Asset</w:t>
            </w:r>
            <w:r>
              <w:rPr>
                <w:b/>
                <w:vertAlign w:val="superscript"/>
              </w:rPr>
              <w:t>(1)</w:t>
            </w:r>
          </w:p>
        </w:tc>
        <w:tc>
          <w:tcPr>
            <w:tcW w:w="2664" w:type="dxa"/>
            <w:tcBorders>
              <w:top w:val="single" w:sz="4" w:space="0" w:color="000000"/>
              <w:bottom w:val="single" w:sz="4" w:space="0" w:color="000000"/>
            </w:tcBorders>
            <w:shd w:fill="FFFF00" w:val="clear"/>
            <w:vAlign w:val="bottom"/>
          </w:tcPr>
          <w:p>
            <w:pPr>
              <w:pStyle w:val="TableBody"/>
              <w:spacing w:before="60" w:after="60"/>
              <w:jc w:val="center"/>
              <w:rPr>
                <w:b/>
              </w:rPr>
            </w:pPr>
            <w:r>
              <w:rPr>
                <w:b/>
              </w:rPr>
              <w:t>Description</w:t>
            </w:r>
          </w:p>
        </w:tc>
        <w:tc>
          <w:tcPr>
            <w:tcW w:w="2664" w:type="dxa"/>
            <w:tcBorders>
              <w:top w:val="single" w:sz="4" w:space="0" w:color="000000"/>
              <w:bottom w:val="single" w:sz="4" w:space="0" w:color="000000"/>
              <w:end w:val="single" w:sz="4" w:space="0" w:color="000000"/>
            </w:tcBorders>
            <w:shd w:fill="FFFF00" w:val="clear"/>
            <w:vAlign w:val="bottom"/>
          </w:tcPr>
          <w:p>
            <w:pPr>
              <w:pStyle w:val="TableBody"/>
              <w:spacing w:before="60" w:after="60"/>
              <w:jc w:val="center"/>
              <w:rPr>
                <w:b/>
              </w:rPr>
            </w:pPr>
            <w:r>
              <w:rPr>
                <w:b/>
              </w:rPr>
              <w:t>Highlights and Development Potential</w:t>
            </w:r>
          </w:p>
        </w:tc>
      </w:tr>
      <w:tr>
        <w:trPr/>
        <w:tc>
          <w:tcPr>
            <w:tcW w:w="6696" w:type="dxa"/>
            <w:gridSpan w:val="3"/>
            <w:tcBorders>
              <w:top w:val="single" w:sz="4" w:space="0" w:color="000000"/>
              <w:start w:val="single" w:sz="4" w:space="0" w:color="000000"/>
              <w:end w:val="single" w:sz="4" w:space="0" w:color="000000"/>
            </w:tcBorders>
          </w:tcPr>
          <w:p>
            <w:pPr>
              <w:pStyle w:val="TableHead"/>
              <w:pBdr>
                <w:bottom w:val="nil"/>
              </w:pBdr>
              <w:spacing w:lineRule="exact" w:line="120"/>
              <w:jc w:val="start"/>
              <w:rPr>
                <w:sz w:val="12"/>
              </w:rPr>
            </w:pPr>
            <w:r>
              <w:rPr>
                <w:rStyle w:val="hidden"/>
              </w:rPr>
              <w:t>DO NOT DELETE</w:t>
            </w:r>
          </w:p>
        </w:tc>
      </w:tr>
      <w:tr>
        <w:trPr/>
        <w:tc>
          <w:tcPr>
            <w:tcW w:w="1368" w:type="dxa"/>
            <w:tcBorders>
              <w:start w:val="single" w:sz="4" w:space="0" w:color="000000"/>
            </w:tcBorders>
          </w:tcPr>
          <w:p>
            <w:pPr>
              <w:pStyle w:val="TableBody"/>
              <w:rPr/>
            </w:pPr>
            <w:r>
              <w:rPr/>
              <w:t>Transredes</w:t>
            </w:r>
          </w:p>
          <w:p>
            <w:pPr>
              <w:pStyle w:val="TableBody"/>
              <w:rPr/>
            </w:pPr>
            <w:r>
              <w:rPr/>
              <w:t>(25%)</w:t>
            </w:r>
            <w:r>
              <w:rPr>
                <w:vertAlign w:val="superscript"/>
              </w:rPr>
              <w:t>(1)</w:t>
            </w:r>
          </w:p>
        </w:tc>
        <w:tc>
          <w:tcPr>
            <w:tcW w:w="2664" w:type="dxa"/>
            <w:tcBorders/>
          </w:tcPr>
          <w:p>
            <w:pPr>
              <w:pStyle w:val="TableBody"/>
              <w:rPr/>
            </w:pPr>
            <w:r>
              <w:rPr/>
              <w:t xml:space="preserve">5,500 km of natural gas and liquids pipelines in Bolivia supplying domestic market and connecting gas reserve basins of Northwest Argentina and Bolivia with major demand loads of South, Southeast and Mid-West Brazil.  Peak throughput of 13 MMcm/d of gas, 50 MMbl/d of liquids.  </w:t>
            </w:r>
          </w:p>
        </w:tc>
        <w:tc>
          <w:tcPr>
            <w:tcW w:w="2664" w:type="dxa"/>
            <w:tcBorders>
              <w:end w:val="single" w:sz="4" w:space="0" w:color="000000"/>
            </w:tcBorders>
          </w:tcPr>
          <w:p>
            <w:pPr>
              <w:pStyle w:val="TableB1st"/>
              <w:numPr>
                <w:ilvl w:val="0"/>
                <w:numId w:val="7"/>
              </w:numPr>
              <w:tabs>
                <w:tab w:val="clear" w:pos="360"/>
                <w:tab w:val="left" w:pos="198" w:leader="none"/>
              </w:tabs>
              <w:ind w:hanging="207" w:start="216" w:end="0"/>
              <w:rPr/>
            </w:pPr>
            <w:r>
              <w:rPr/>
              <w:t>Principal gateway for supply of huge Northwest Argentina and Bolivian gas reserves into Brazilian market through BBPL</w:t>
            </w:r>
          </w:p>
          <w:p>
            <w:pPr>
              <w:pStyle w:val="TableB1st"/>
              <w:numPr>
                <w:ilvl w:val="0"/>
                <w:numId w:val="7"/>
              </w:numPr>
              <w:tabs>
                <w:tab w:val="clear" w:pos="360"/>
                <w:tab w:val="left" w:pos="198" w:leader="none"/>
              </w:tabs>
              <w:ind w:hanging="207" w:start="216" w:end="0"/>
              <w:rPr/>
            </w:pPr>
            <w:r>
              <w:rPr/>
              <w:t>Enron has co-control of Transredes.</w:t>
            </w:r>
          </w:p>
          <w:p>
            <w:pPr>
              <w:pStyle w:val="TableB1st"/>
              <w:numPr>
                <w:ilvl w:val="0"/>
                <w:numId w:val="7"/>
              </w:numPr>
              <w:tabs>
                <w:tab w:val="clear" w:pos="360"/>
                <w:tab w:val="left" w:pos="198" w:leader="none"/>
              </w:tabs>
              <w:ind w:hanging="207" w:start="216" w:end="0"/>
              <w:rPr/>
            </w:pPr>
            <w:r>
              <w:rPr/>
              <w:t>Transredes has control of GTB, the Bolivian segment of BBPL, giving it significant influence over allocation and future expansion of BBPL capacity</w:t>
            </w:r>
          </w:p>
          <w:p>
            <w:pPr>
              <w:pStyle w:val="TableB1st"/>
              <w:numPr>
                <w:ilvl w:val="0"/>
                <w:numId w:val="7"/>
              </w:numPr>
              <w:tabs>
                <w:tab w:val="clear" w:pos="360"/>
                <w:tab w:val="left" w:pos="198" w:leader="none"/>
              </w:tabs>
              <w:ind w:hanging="207" w:start="216" w:end="0"/>
              <w:rPr/>
            </w:pPr>
            <w:r>
              <w:rPr/>
              <w:t>Participation in Cuiabá pipelines and power plant</w:t>
            </w:r>
          </w:p>
        </w:tc>
      </w:tr>
      <w:tr>
        <w:trPr/>
        <w:tc>
          <w:tcPr>
            <w:tcW w:w="1368" w:type="dxa"/>
            <w:tcBorders>
              <w:top w:val="single" w:sz="4" w:space="0" w:color="000000"/>
              <w:start w:val="single" w:sz="4" w:space="0" w:color="000000"/>
            </w:tcBorders>
            <w:shd w:fill="E5E5E5" w:val="clear"/>
          </w:tcPr>
          <w:p>
            <w:pPr>
              <w:pStyle w:val="TableSpacer"/>
              <w:snapToGrid w:val="false"/>
              <w:rPr/>
            </w:pPr>
            <w:r>
              <w:rPr/>
            </w:r>
          </w:p>
        </w:tc>
        <w:tc>
          <w:tcPr>
            <w:tcW w:w="2664" w:type="dxa"/>
            <w:tcBorders>
              <w:top w:val="single" w:sz="4" w:space="0" w:color="000000"/>
            </w:tcBorders>
            <w:shd w:fill="E5E5E5" w:val="clear"/>
          </w:tcPr>
          <w:p>
            <w:pPr>
              <w:pStyle w:val="TableSpacer"/>
              <w:snapToGrid w:val="false"/>
              <w:rPr/>
            </w:pPr>
            <w:r>
              <w:rPr/>
            </w:r>
          </w:p>
        </w:tc>
        <w:tc>
          <w:tcPr>
            <w:tcW w:w="2664" w:type="dxa"/>
            <w:tcBorders>
              <w:top w:val="single" w:sz="4" w:space="0" w:color="000000"/>
              <w:end w:val="single" w:sz="4" w:space="0" w:color="000000"/>
            </w:tcBorders>
            <w:shd w:fill="E5E5E5" w:val="clear"/>
          </w:tcPr>
          <w:p>
            <w:pPr>
              <w:pStyle w:val="TableSpacer"/>
              <w:tabs>
                <w:tab w:val="clear" w:pos="360"/>
                <w:tab w:val="left" w:pos="198" w:leader="none"/>
              </w:tabs>
              <w:snapToGrid w:val="false"/>
              <w:rPr/>
            </w:pPr>
            <w:r>
              <w:rPr/>
            </w:r>
          </w:p>
        </w:tc>
      </w:tr>
      <w:tr>
        <w:trPr/>
        <w:tc>
          <w:tcPr>
            <w:tcW w:w="1368" w:type="dxa"/>
            <w:tcBorders>
              <w:start w:val="single" w:sz="4" w:space="0" w:color="000000"/>
              <w:bottom w:val="single" w:sz="4" w:space="0" w:color="000000"/>
            </w:tcBorders>
            <w:shd w:fill="E5E5E5" w:val="clear"/>
          </w:tcPr>
          <w:p>
            <w:pPr>
              <w:pStyle w:val="TableBody"/>
              <w:rPr/>
            </w:pPr>
            <w:r>
              <w:rPr/>
              <w:t>BBPL</w:t>
            </w:r>
          </w:p>
          <w:p>
            <w:pPr>
              <w:pStyle w:val="TableBody"/>
              <w:rPr/>
            </w:pPr>
            <w:r>
              <w:rPr/>
              <w:t>(GTB - 29.8%)</w:t>
            </w:r>
          </w:p>
          <w:p>
            <w:pPr>
              <w:pStyle w:val="TableBody"/>
              <w:rPr/>
            </w:pPr>
            <w:r>
              <w:rPr/>
              <w:t>(TBG - 7%)</w:t>
            </w:r>
          </w:p>
        </w:tc>
        <w:tc>
          <w:tcPr>
            <w:tcW w:w="2664" w:type="dxa"/>
            <w:tcBorders>
              <w:bottom w:val="single" w:sz="4" w:space="0" w:color="000000"/>
            </w:tcBorders>
            <w:shd w:fill="E5E5E5" w:val="clear"/>
          </w:tcPr>
          <w:p>
            <w:pPr>
              <w:pStyle w:val="TableBody"/>
              <w:rPr/>
            </w:pPr>
            <w:r>
              <w:rPr/>
              <w:t>3,133 km of natural gas pipeline connecting Transredes system to key South, Southeast and Mid-West Brazilian markets.  Capacity of 30 MMcm/d. Phase I completed in March 1999, Phase II (São Paulo to Porto Alegre) completed in 1Q2000.</w:t>
            </w:r>
          </w:p>
        </w:tc>
        <w:tc>
          <w:tcPr>
            <w:tcW w:w="2664" w:type="dxa"/>
            <w:tcBorders>
              <w:bottom w:val="single" w:sz="4" w:space="0" w:color="000000"/>
              <w:end w:val="single" w:sz="4" w:space="0" w:color="000000"/>
            </w:tcBorders>
            <w:shd w:fill="E5E5E5" w:val="clear"/>
          </w:tcPr>
          <w:p>
            <w:pPr>
              <w:pStyle w:val="TableB1st"/>
              <w:numPr>
                <w:ilvl w:val="0"/>
                <w:numId w:val="7"/>
              </w:numPr>
              <w:tabs>
                <w:tab w:val="clear" w:pos="360"/>
                <w:tab w:val="left" w:pos="198" w:leader="none"/>
              </w:tabs>
              <w:ind w:hanging="207" w:start="216" w:end="0"/>
              <w:rPr/>
            </w:pPr>
            <w:r>
              <w:rPr/>
              <w:t>Principal conduit to Brazil for Northwest Argentina and Bolivian reserves</w:t>
            </w:r>
          </w:p>
          <w:p>
            <w:pPr>
              <w:pStyle w:val="TableB1st"/>
              <w:numPr>
                <w:ilvl w:val="0"/>
                <w:numId w:val="7"/>
              </w:numPr>
              <w:tabs>
                <w:tab w:val="clear" w:pos="360"/>
                <w:tab w:val="left" w:pos="198" w:leader="none"/>
              </w:tabs>
              <w:ind w:hanging="207" w:start="216" w:end="0"/>
              <w:rPr/>
            </w:pPr>
            <w:r>
              <w:rPr/>
              <w:t>Potential to double capacity to 60 MMcm/d with relatively inexpensive looping</w:t>
            </w:r>
          </w:p>
          <w:p>
            <w:pPr>
              <w:pStyle w:val="TableB1st"/>
              <w:numPr>
                <w:ilvl w:val="0"/>
                <w:numId w:val="7"/>
              </w:numPr>
              <w:tabs>
                <w:tab w:val="clear" w:pos="360"/>
                <w:tab w:val="left" w:pos="198" w:leader="none"/>
              </w:tabs>
              <w:ind w:hanging="207" w:start="216" w:end="0"/>
              <w:rPr/>
            </w:pPr>
            <w:r>
              <w:rPr/>
              <w:t>Enron is operator of and indirectly (through Transredes) co-controls GTB</w:t>
            </w:r>
          </w:p>
          <w:p>
            <w:pPr>
              <w:pStyle w:val="TableB1st"/>
              <w:numPr>
                <w:ilvl w:val="0"/>
                <w:numId w:val="7"/>
              </w:numPr>
              <w:tabs>
                <w:tab w:val="clear" w:pos="360"/>
                <w:tab w:val="left" w:pos="198" w:leader="none"/>
              </w:tabs>
              <w:ind w:hanging="207" w:start="216" w:end="0"/>
              <w:rPr/>
            </w:pPr>
            <w:r>
              <w:rPr/>
              <w:t>Minority position in TBG protected through controlling position in GTB</w:t>
            </w:r>
          </w:p>
          <w:p>
            <w:pPr>
              <w:pStyle w:val="TableB1st"/>
              <w:numPr>
                <w:ilvl w:val="0"/>
                <w:numId w:val="7"/>
              </w:numPr>
              <w:tabs>
                <w:tab w:val="clear" w:pos="360"/>
                <w:tab w:val="left" w:pos="198" w:leader="none"/>
              </w:tabs>
              <w:ind w:hanging="198" w:start="198" w:end="0"/>
              <w:rPr/>
            </w:pPr>
            <w:r>
              <w:rPr/>
              <w:t>Regulatory and physical constraints make ownership important for access to and allocation of capacity of BBPL</w:t>
            </w:r>
          </w:p>
        </w:tc>
      </w:tr>
      <w:tr>
        <w:trPr/>
        <w:tc>
          <w:tcPr>
            <w:tcW w:w="1368" w:type="dxa"/>
            <w:tcBorders>
              <w:start w:val="single" w:sz="4" w:space="0" w:color="000000"/>
            </w:tcBorders>
          </w:tcPr>
          <w:p>
            <w:pPr>
              <w:pStyle w:val="TableSpacer"/>
              <w:snapToGrid w:val="false"/>
              <w:rPr/>
            </w:pPr>
            <w:r>
              <w:rPr/>
            </w:r>
          </w:p>
        </w:tc>
        <w:tc>
          <w:tcPr>
            <w:tcW w:w="2664" w:type="dxa"/>
            <w:tcBorders/>
          </w:tcPr>
          <w:p>
            <w:pPr>
              <w:pStyle w:val="TableSpacer"/>
              <w:snapToGrid w:val="false"/>
              <w:rPr/>
            </w:pPr>
            <w:r>
              <w:rPr/>
            </w:r>
          </w:p>
        </w:tc>
        <w:tc>
          <w:tcPr>
            <w:tcW w:w="2664" w:type="dxa"/>
            <w:tcBorders>
              <w:end w:val="single" w:sz="4" w:space="0" w:color="000000"/>
            </w:tcBorders>
          </w:tcPr>
          <w:p>
            <w:pPr>
              <w:pStyle w:val="TableSpacer"/>
              <w:tabs>
                <w:tab w:val="clear" w:pos="360"/>
                <w:tab w:val="left" w:pos="198" w:leader="none"/>
              </w:tabs>
              <w:snapToGrid w:val="false"/>
              <w:rPr/>
            </w:pPr>
            <w:r>
              <w:rPr/>
            </w:r>
          </w:p>
        </w:tc>
      </w:tr>
      <w:tr>
        <w:trPr/>
        <w:tc>
          <w:tcPr>
            <w:tcW w:w="1368" w:type="dxa"/>
            <w:tcBorders>
              <w:start w:val="single" w:sz="4" w:space="0" w:color="000000"/>
              <w:bottom w:val="single" w:sz="4" w:space="0" w:color="000000"/>
            </w:tcBorders>
          </w:tcPr>
          <w:p>
            <w:pPr>
              <w:pStyle w:val="TableBody"/>
              <w:rPr/>
            </w:pPr>
            <w:r>
              <w:rPr/>
              <w:t>TGS</w:t>
            </w:r>
          </w:p>
          <w:p>
            <w:pPr>
              <w:pStyle w:val="TableBody"/>
              <w:rPr/>
            </w:pPr>
            <w:r>
              <w:rPr/>
              <w:t>(34.1%)</w:t>
            </w:r>
          </w:p>
        </w:tc>
        <w:tc>
          <w:tcPr>
            <w:tcW w:w="2664" w:type="dxa"/>
            <w:tcBorders>
              <w:bottom w:val="single" w:sz="4" w:space="0" w:color="000000"/>
            </w:tcBorders>
          </w:tcPr>
          <w:p>
            <w:pPr>
              <w:pStyle w:val="TableBody"/>
              <w:rPr/>
            </w:pPr>
            <w:r>
              <w:rPr/>
              <w:t>6,987 km of natural gas and liquids pipelines connecting Southern and Western Argentina gas reserve basins to key Buenos Aires market.  Peak throughput capacity of 57 MMcm/d and processing capacity of 1.1 MMmt of gas and liquids.</w:t>
            </w:r>
          </w:p>
        </w:tc>
        <w:tc>
          <w:tcPr>
            <w:tcW w:w="2664" w:type="dxa"/>
            <w:tcBorders>
              <w:bottom w:val="single" w:sz="4" w:space="0" w:color="000000"/>
              <w:end w:val="single" w:sz="4" w:space="0" w:color="000000"/>
            </w:tcBorders>
          </w:tcPr>
          <w:p>
            <w:pPr>
              <w:pStyle w:val="TableB1st"/>
              <w:numPr>
                <w:ilvl w:val="0"/>
                <w:numId w:val="7"/>
              </w:numPr>
              <w:tabs>
                <w:tab w:val="clear" w:pos="360"/>
                <w:tab w:val="left" w:pos="198" w:leader="none"/>
              </w:tabs>
              <w:ind w:hanging="207" w:start="216" w:end="0"/>
              <w:rPr/>
            </w:pPr>
            <w:r>
              <w:rPr/>
              <w:t>Transports almost 60% of Argentine natural gas</w:t>
            </w:r>
          </w:p>
          <w:p>
            <w:pPr>
              <w:pStyle w:val="TableB1st"/>
              <w:numPr>
                <w:ilvl w:val="0"/>
                <w:numId w:val="7"/>
              </w:numPr>
              <w:tabs>
                <w:tab w:val="clear" w:pos="360"/>
                <w:tab w:val="left" w:pos="198" w:leader="none"/>
              </w:tabs>
              <w:ind w:hanging="207" w:start="216" w:end="0"/>
              <w:rPr/>
            </w:pPr>
            <w:r>
              <w:rPr/>
              <w:t>Potential for interconnection with pipelines supplying Southern Brazil</w:t>
            </w:r>
          </w:p>
          <w:p>
            <w:pPr>
              <w:pStyle w:val="TableB1st"/>
              <w:numPr>
                <w:ilvl w:val="0"/>
                <w:numId w:val="7"/>
              </w:numPr>
              <w:tabs>
                <w:tab w:val="clear" w:pos="360"/>
                <w:tab w:val="left" w:pos="198" w:leader="none"/>
              </w:tabs>
              <w:ind w:hanging="207" w:start="216" w:end="0"/>
              <w:rPr/>
            </w:pPr>
            <w:r>
              <w:rPr/>
              <w:t>Development of telecom opportunities in progress</w:t>
            </w:r>
          </w:p>
          <w:p>
            <w:pPr>
              <w:pStyle w:val="TableB1st"/>
              <w:numPr>
                <w:ilvl w:val="0"/>
                <w:numId w:val="7"/>
              </w:numPr>
              <w:tabs>
                <w:tab w:val="clear" w:pos="360"/>
                <w:tab w:val="left" w:pos="198" w:leader="none"/>
              </w:tabs>
              <w:ind w:hanging="207" w:start="216" w:end="0"/>
              <w:rPr/>
            </w:pPr>
            <w:r>
              <w:rPr/>
              <w:t>Enron is operator and co-controls TGS with Perez Companc</w:t>
            </w:r>
          </w:p>
          <w:p>
            <w:pPr>
              <w:pStyle w:val="TableB1st"/>
              <w:numPr>
                <w:ilvl w:val="0"/>
                <w:numId w:val="7"/>
              </w:numPr>
              <w:tabs>
                <w:tab w:val="clear" w:pos="360"/>
                <w:tab w:val="left" w:pos="198" w:leader="none"/>
              </w:tabs>
              <w:ind w:hanging="207" w:start="216" w:end="0"/>
              <w:rPr/>
            </w:pPr>
            <w:r>
              <w:rPr/>
              <w:t>Strong cashflow generation</w:t>
            </w:r>
          </w:p>
        </w:tc>
      </w:tr>
      <w:tr>
        <w:trPr/>
        <w:tc>
          <w:tcPr>
            <w:tcW w:w="6696" w:type="dxa"/>
            <w:gridSpan w:val="3"/>
            <w:tcBorders>
              <w:top w:val="single" w:sz="4" w:space="0" w:color="000000"/>
            </w:tcBorders>
          </w:tcPr>
          <w:p>
            <w:pPr>
              <w:pStyle w:val="TableB1st"/>
              <w:numPr>
                <w:ilvl w:val="0"/>
                <w:numId w:val="0"/>
              </w:numPr>
              <w:ind w:hanging="0" w:start="0"/>
              <w:rPr/>
            </w:pPr>
            <w:r>
              <w:rPr/>
              <w:t>Note: (1). The percentages represent Enron’s net direct and indirect economic interest in the asset.</w:t>
            </w:r>
          </w:p>
        </w:tc>
      </w:tr>
      <w:tr>
        <w:trPr/>
        <w:tc>
          <w:tcPr>
            <w:tcW w:w="1368" w:type="dxa"/>
            <w:tcBorders/>
          </w:tcPr>
          <w:p>
            <w:pPr>
              <w:pStyle w:val="TableSpacer"/>
              <w:snapToGrid w:val="false"/>
              <w:rPr/>
            </w:pPr>
            <w:r>
              <w:rPr/>
            </w:r>
          </w:p>
        </w:tc>
        <w:tc>
          <w:tcPr>
            <w:tcW w:w="2664" w:type="dxa"/>
            <w:tcBorders/>
          </w:tcPr>
          <w:p>
            <w:pPr>
              <w:pStyle w:val="TableSpacer"/>
              <w:snapToGrid w:val="false"/>
              <w:rPr/>
            </w:pPr>
            <w:r>
              <w:rPr/>
            </w:r>
          </w:p>
        </w:tc>
        <w:tc>
          <w:tcPr>
            <w:tcW w:w="2664" w:type="dxa"/>
            <w:tcBorders/>
          </w:tcPr>
          <w:p>
            <w:pPr>
              <w:pStyle w:val="TableSpacer"/>
              <w:snapToGrid w:val="false"/>
              <w:rPr/>
            </w:pPr>
            <w:r>
              <w:rPr/>
            </w:r>
          </w:p>
        </w:tc>
      </w:tr>
    </w:tbl>
    <w:p>
      <w:pPr>
        <w:pStyle w:val="Normal"/>
        <w:rPr/>
      </w:pPr>
      <w:r>
        <w:br w:type="page"/>
      </w:r>
      <w:r>
        <w:rPr/>
      </w:r>
    </w:p>
    <w:tbl>
      <w:tblPr>
        <w:tblW w:w="6696" w:type="dxa"/>
        <w:jc w:val="center"/>
        <w:tblInd w:w="0" w:type="dxa"/>
        <w:tblLayout w:type="fixed"/>
        <w:tblCellMar>
          <w:top w:w="0" w:type="dxa"/>
          <w:start w:w="108" w:type="dxa"/>
          <w:bottom w:w="0" w:type="dxa"/>
          <w:end w:w="108" w:type="dxa"/>
        </w:tblCellMar>
      </w:tblPr>
      <w:tblGrid>
        <w:gridCol w:w="1368"/>
        <w:gridCol w:w="2664"/>
        <w:gridCol w:w="2664"/>
      </w:tblGrid>
      <w:tr>
        <w:trPr/>
        <w:tc>
          <w:tcPr>
            <w:tcW w:w="6696" w:type="dxa"/>
            <w:gridSpan w:val="3"/>
            <w:tcBorders/>
          </w:tcPr>
          <w:p>
            <w:pPr>
              <w:pStyle w:val="Normal"/>
              <w:keepNext w:val="true"/>
              <w:spacing w:before="0" w:after="220"/>
              <w:jc w:val="both"/>
              <w:rPr>
                <w:u w:val="single"/>
              </w:rPr>
            </w:pPr>
            <w:r>
              <w:rPr>
                <w:u w:val="single"/>
              </w:rPr>
              <w:t>Power Distribution</w:t>
            </w:r>
          </w:p>
        </w:tc>
      </w:tr>
      <w:tr>
        <w:trPr/>
        <w:tc>
          <w:tcPr>
            <w:tcW w:w="1368" w:type="dxa"/>
            <w:tcBorders>
              <w:top w:val="single" w:sz="4" w:space="0" w:color="000000"/>
              <w:start w:val="single" w:sz="4" w:space="0" w:color="000000"/>
            </w:tcBorders>
            <w:shd w:fill="FFFF00" w:val="clear"/>
            <w:vAlign w:val="bottom"/>
          </w:tcPr>
          <w:p>
            <w:pPr>
              <w:pStyle w:val="TableBody"/>
              <w:spacing w:before="60" w:after="60"/>
              <w:jc w:val="center"/>
              <w:rPr>
                <w:b/>
              </w:rPr>
            </w:pPr>
            <w:r>
              <w:rPr>
                <w:b/>
              </w:rPr>
              <w:t>Asset</w:t>
            </w:r>
            <w:r>
              <w:rPr>
                <w:b/>
                <w:vertAlign w:val="superscript"/>
              </w:rPr>
              <w:t>(1)</w:t>
            </w:r>
          </w:p>
        </w:tc>
        <w:tc>
          <w:tcPr>
            <w:tcW w:w="2664" w:type="dxa"/>
            <w:tcBorders>
              <w:top w:val="single" w:sz="4" w:space="0" w:color="000000"/>
            </w:tcBorders>
            <w:shd w:fill="FFFF00" w:val="clear"/>
            <w:vAlign w:val="bottom"/>
          </w:tcPr>
          <w:p>
            <w:pPr>
              <w:pStyle w:val="TableBody"/>
              <w:spacing w:before="60" w:after="60"/>
              <w:jc w:val="center"/>
              <w:rPr>
                <w:b/>
              </w:rPr>
            </w:pPr>
            <w:r>
              <w:rPr>
                <w:b/>
              </w:rPr>
              <w:t>Description</w:t>
            </w:r>
          </w:p>
        </w:tc>
        <w:tc>
          <w:tcPr>
            <w:tcW w:w="2664" w:type="dxa"/>
            <w:tcBorders>
              <w:top w:val="single" w:sz="4" w:space="0" w:color="000000"/>
              <w:end w:val="single" w:sz="4" w:space="0" w:color="000000"/>
            </w:tcBorders>
            <w:shd w:fill="FFFF00" w:val="clear"/>
            <w:vAlign w:val="bottom"/>
          </w:tcPr>
          <w:p>
            <w:pPr>
              <w:pStyle w:val="TableBody"/>
              <w:spacing w:before="60" w:after="60"/>
              <w:jc w:val="center"/>
              <w:rPr>
                <w:b/>
              </w:rPr>
            </w:pPr>
            <w:r>
              <w:rPr>
                <w:b/>
              </w:rPr>
              <w:t>Highlights and Development Potential</w:t>
            </w:r>
          </w:p>
        </w:tc>
      </w:tr>
      <w:tr>
        <w:trPr/>
        <w:tc>
          <w:tcPr>
            <w:tcW w:w="6696" w:type="dxa"/>
            <w:gridSpan w:val="3"/>
            <w:tcBorders>
              <w:top w:val="single" w:sz="4" w:space="0" w:color="000000"/>
              <w:start w:val="single" w:sz="4" w:space="0" w:color="000000"/>
              <w:end w:val="single" w:sz="4" w:space="0" w:color="000000"/>
            </w:tcBorders>
          </w:tcPr>
          <w:p>
            <w:pPr>
              <w:pStyle w:val="TableHead"/>
              <w:pBdr>
                <w:bottom w:val="nil"/>
              </w:pBdr>
              <w:spacing w:lineRule="exact" w:line="120"/>
              <w:jc w:val="start"/>
              <w:rPr>
                <w:sz w:val="12"/>
              </w:rPr>
            </w:pPr>
            <w:r>
              <w:rPr>
                <w:rStyle w:val="hidden"/>
              </w:rPr>
              <w:t>DO NOT DELETE</w:t>
            </w:r>
          </w:p>
        </w:tc>
      </w:tr>
      <w:tr>
        <w:trPr/>
        <w:tc>
          <w:tcPr>
            <w:tcW w:w="1368" w:type="dxa"/>
            <w:tcBorders>
              <w:start w:val="single" w:sz="4" w:space="0" w:color="000000"/>
            </w:tcBorders>
          </w:tcPr>
          <w:p>
            <w:pPr>
              <w:pStyle w:val="TableBody"/>
              <w:rPr/>
            </w:pPr>
            <w:r>
              <w:rPr/>
              <w:t>Elektro</w:t>
            </w:r>
          </w:p>
          <w:p>
            <w:pPr>
              <w:pStyle w:val="TableBody"/>
              <w:rPr/>
            </w:pPr>
            <w:r>
              <w:rPr/>
              <w:t>(99.5%)</w:t>
            </w:r>
          </w:p>
        </w:tc>
        <w:tc>
          <w:tcPr>
            <w:tcW w:w="2664" w:type="dxa"/>
            <w:tcBorders/>
          </w:tcPr>
          <w:p>
            <w:pPr>
              <w:pStyle w:val="TableBody"/>
              <w:rPr/>
            </w:pPr>
            <w:r>
              <w:rPr/>
              <w:t>1.6MM customers in fastest growing areas of State of São Paulo.  Annual sales of 10,708 GWh.  Price cap tariff regime with first five year review in August 2003.</w:t>
            </w:r>
          </w:p>
        </w:tc>
        <w:tc>
          <w:tcPr>
            <w:tcW w:w="2664" w:type="dxa"/>
            <w:tcBorders>
              <w:end w:val="single" w:sz="4" w:space="0" w:color="000000"/>
            </w:tcBorders>
          </w:tcPr>
          <w:p>
            <w:pPr>
              <w:pStyle w:val="TableB1st"/>
              <w:numPr>
                <w:ilvl w:val="0"/>
                <w:numId w:val="7"/>
              </w:numPr>
              <w:tabs>
                <w:tab w:val="clear" w:pos="360"/>
                <w:tab w:val="left" w:pos="198" w:leader="none"/>
              </w:tabs>
              <w:ind w:hanging="207" w:start="216" w:end="0"/>
              <w:rPr/>
            </w:pPr>
            <w:r>
              <w:rPr/>
              <w:t>Demand growing at almost 6% per annum</w:t>
            </w:r>
          </w:p>
          <w:p>
            <w:pPr>
              <w:pStyle w:val="TableB1st"/>
              <w:numPr>
                <w:ilvl w:val="0"/>
                <w:numId w:val="7"/>
              </w:numPr>
              <w:tabs>
                <w:tab w:val="clear" w:pos="360"/>
                <w:tab w:val="left" w:pos="198" w:leader="none"/>
              </w:tabs>
              <w:ind w:hanging="207" w:start="216" w:end="0"/>
              <w:rPr/>
            </w:pPr>
            <w:r>
              <w:rPr/>
              <w:t>Minimal exposure to large industrial customers</w:t>
            </w:r>
          </w:p>
          <w:p>
            <w:pPr>
              <w:pStyle w:val="TableB1st"/>
              <w:numPr>
                <w:ilvl w:val="0"/>
                <w:numId w:val="7"/>
              </w:numPr>
              <w:tabs>
                <w:tab w:val="clear" w:pos="360"/>
                <w:tab w:val="left" w:pos="198" w:leader="none"/>
              </w:tabs>
              <w:ind w:hanging="207" w:start="216" w:end="0"/>
              <w:rPr/>
            </w:pPr>
            <w:r>
              <w:rPr/>
              <w:t>Highest levels of operating efficiency and quality of service in Brazil</w:t>
            </w:r>
          </w:p>
          <w:p>
            <w:pPr>
              <w:pStyle w:val="TableB1st"/>
              <w:numPr>
                <w:ilvl w:val="0"/>
                <w:numId w:val="7"/>
              </w:numPr>
              <w:tabs>
                <w:tab w:val="clear" w:pos="360"/>
                <w:tab w:val="left" w:pos="198" w:leader="none"/>
              </w:tabs>
              <w:ind w:hanging="207" w:start="216" w:end="0"/>
              <w:rPr/>
            </w:pPr>
            <w:r>
              <w:rPr/>
              <w:t>Critical component of gas to power convergence opportunity</w:t>
            </w:r>
          </w:p>
          <w:p>
            <w:pPr>
              <w:pStyle w:val="TableB1st"/>
              <w:numPr>
                <w:ilvl w:val="0"/>
                <w:numId w:val="7"/>
              </w:numPr>
              <w:tabs>
                <w:tab w:val="clear" w:pos="360"/>
                <w:tab w:val="left" w:pos="198" w:leader="none"/>
              </w:tabs>
              <w:ind w:hanging="207" w:start="216" w:end="0"/>
              <w:rPr/>
            </w:pPr>
            <w:r>
              <w:rPr/>
              <w:t>Optimal platform for development of power generation businesses in Brazil</w:t>
            </w:r>
          </w:p>
          <w:p>
            <w:pPr>
              <w:pStyle w:val="TableB1st"/>
              <w:numPr>
                <w:ilvl w:val="0"/>
                <w:numId w:val="7"/>
              </w:numPr>
              <w:tabs>
                <w:tab w:val="clear" w:pos="360"/>
                <w:tab w:val="left" w:pos="198" w:leader="none"/>
              </w:tabs>
              <w:ind w:hanging="207" w:start="216" w:end="0"/>
              <w:rPr/>
            </w:pPr>
            <w:r>
              <w:rPr/>
              <w:t>Enron’s sole control provides full management and contracting flexibility</w:t>
            </w:r>
          </w:p>
          <w:p>
            <w:pPr>
              <w:pStyle w:val="TableB1st"/>
              <w:numPr>
                <w:ilvl w:val="0"/>
                <w:numId w:val="7"/>
              </w:numPr>
              <w:tabs>
                <w:tab w:val="clear" w:pos="360"/>
                <w:tab w:val="left" w:pos="198" w:leader="none"/>
              </w:tabs>
              <w:ind w:hanging="207" w:start="216" w:end="0"/>
              <w:rPr/>
            </w:pPr>
            <w:r>
              <w:rPr/>
              <w:t>Strong and fast growing cashflow generation</w:t>
            </w:r>
          </w:p>
        </w:tc>
      </w:tr>
      <w:tr>
        <w:trPr/>
        <w:tc>
          <w:tcPr>
            <w:tcW w:w="6696" w:type="dxa"/>
            <w:gridSpan w:val="3"/>
            <w:tcBorders>
              <w:top w:val="single" w:sz="4" w:space="0" w:color="000000"/>
            </w:tcBorders>
          </w:tcPr>
          <w:p>
            <w:pPr>
              <w:pStyle w:val="TableB1st"/>
              <w:numPr>
                <w:ilvl w:val="0"/>
                <w:numId w:val="0"/>
              </w:numPr>
              <w:ind w:hanging="0" w:start="0"/>
              <w:rPr/>
            </w:pPr>
            <w:r>
              <w:rPr/>
              <w:t>Note: (1). The percentages represent Enron’s net direct and indirect economic interest in the asset.</w:t>
            </w:r>
          </w:p>
        </w:tc>
      </w:tr>
      <w:tr>
        <w:trPr>
          <w:trHeight w:val="240" w:hRule="exact"/>
        </w:trPr>
        <w:tc>
          <w:tcPr>
            <w:tcW w:w="6696" w:type="dxa"/>
            <w:gridSpan w:val="3"/>
            <w:tcBorders/>
          </w:tcPr>
          <w:p>
            <w:pPr>
              <w:pStyle w:val="Normal"/>
              <w:snapToGrid w:val="false"/>
              <w:spacing w:before="0" w:after="220"/>
              <w:jc w:val="both"/>
              <w:rPr/>
            </w:pPr>
            <w:r>
              <w:rPr/>
            </w:r>
          </w:p>
        </w:tc>
      </w:tr>
      <w:tr>
        <w:trPr>
          <w:trHeight w:val="238" w:hRule="atLeast"/>
        </w:trPr>
        <w:tc>
          <w:tcPr>
            <w:tcW w:w="6696" w:type="dxa"/>
            <w:gridSpan w:val="3"/>
            <w:tcBorders/>
          </w:tcPr>
          <w:p>
            <w:pPr>
              <w:pStyle w:val="Normal"/>
              <w:spacing w:before="0" w:after="220"/>
              <w:jc w:val="both"/>
              <w:rPr>
                <w:u w:val="single"/>
              </w:rPr>
            </w:pPr>
            <w:r>
              <w:rPr>
                <w:u w:val="single"/>
              </w:rPr>
              <w:t>Natural Gas LDCs</w:t>
            </w:r>
          </w:p>
        </w:tc>
      </w:tr>
      <w:tr>
        <w:trPr/>
        <w:tc>
          <w:tcPr>
            <w:tcW w:w="1368" w:type="dxa"/>
            <w:tcBorders>
              <w:top w:val="single" w:sz="4" w:space="0" w:color="000000"/>
              <w:start w:val="single" w:sz="4" w:space="0" w:color="000000"/>
            </w:tcBorders>
            <w:shd w:fill="FFFF00" w:val="clear"/>
            <w:vAlign w:val="bottom"/>
          </w:tcPr>
          <w:p>
            <w:pPr>
              <w:pStyle w:val="TableBody"/>
              <w:spacing w:before="60" w:after="60"/>
              <w:jc w:val="center"/>
              <w:rPr>
                <w:b/>
              </w:rPr>
            </w:pPr>
            <w:r>
              <w:rPr>
                <w:b/>
              </w:rPr>
              <w:t>Asset</w:t>
            </w:r>
            <w:r>
              <w:rPr>
                <w:b/>
                <w:vertAlign w:val="superscript"/>
              </w:rPr>
              <w:t>(1)</w:t>
            </w:r>
          </w:p>
        </w:tc>
        <w:tc>
          <w:tcPr>
            <w:tcW w:w="2664" w:type="dxa"/>
            <w:tcBorders>
              <w:top w:val="single" w:sz="4" w:space="0" w:color="000000"/>
            </w:tcBorders>
            <w:shd w:fill="FFFF00" w:val="clear"/>
            <w:vAlign w:val="bottom"/>
          </w:tcPr>
          <w:p>
            <w:pPr>
              <w:pStyle w:val="TableBody"/>
              <w:spacing w:before="60" w:after="60"/>
              <w:jc w:val="center"/>
              <w:rPr>
                <w:b/>
              </w:rPr>
            </w:pPr>
            <w:r>
              <w:rPr>
                <w:b/>
              </w:rPr>
              <w:t>Description</w:t>
            </w:r>
          </w:p>
        </w:tc>
        <w:tc>
          <w:tcPr>
            <w:tcW w:w="2664" w:type="dxa"/>
            <w:tcBorders>
              <w:top w:val="single" w:sz="4" w:space="0" w:color="000000"/>
              <w:end w:val="single" w:sz="4" w:space="0" w:color="000000"/>
            </w:tcBorders>
            <w:shd w:fill="FFFF00" w:val="clear"/>
            <w:vAlign w:val="bottom"/>
          </w:tcPr>
          <w:p>
            <w:pPr>
              <w:pStyle w:val="TableBody"/>
              <w:spacing w:before="60" w:after="60"/>
              <w:jc w:val="center"/>
              <w:rPr>
                <w:b/>
              </w:rPr>
            </w:pPr>
            <w:r>
              <w:rPr>
                <w:b/>
              </w:rPr>
              <w:t>Highlights and Development Potential</w:t>
            </w:r>
          </w:p>
        </w:tc>
      </w:tr>
      <w:tr>
        <w:trPr/>
        <w:tc>
          <w:tcPr>
            <w:tcW w:w="6696" w:type="dxa"/>
            <w:gridSpan w:val="3"/>
            <w:tcBorders>
              <w:top w:val="single" w:sz="4" w:space="0" w:color="000000"/>
              <w:start w:val="single" w:sz="4" w:space="0" w:color="000000"/>
              <w:end w:val="single" w:sz="4" w:space="0" w:color="000000"/>
            </w:tcBorders>
          </w:tcPr>
          <w:p>
            <w:pPr>
              <w:pStyle w:val="TableHead"/>
              <w:keepNext w:val="false"/>
              <w:keepLines w:val="false"/>
              <w:pBdr>
                <w:bottom w:val="nil"/>
              </w:pBdr>
              <w:spacing w:lineRule="exact" w:line="120"/>
              <w:jc w:val="start"/>
              <w:rPr>
                <w:sz w:val="12"/>
              </w:rPr>
            </w:pPr>
            <w:r>
              <w:rPr>
                <w:rStyle w:val="hidden"/>
              </w:rPr>
              <w:t>DO NOT DELETE</w:t>
            </w:r>
          </w:p>
        </w:tc>
      </w:tr>
      <w:tr>
        <w:trPr/>
        <w:tc>
          <w:tcPr>
            <w:tcW w:w="1368" w:type="dxa"/>
            <w:tcBorders>
              <w:start w:val="single" w:sz="4" w:space="0" w:color="000000"/>
            </w:tcBorders>
          </w:tcPr>
          <w:p>
            <w:pPr>
              <w:pStyle w:val="TableBody"/>
              <w:rPr/>
            </w:pPr>
            <w:r>
              <w:rPr/>
              <w:t>CEG/CEG-Rio</w:t>
            </w:r>
          </w:p>
          <w:p>
            <w:pPr>
              <w:pStyle w:val="TableBody"/>
              <w:rPr/>
            </w:pPr>
            <w:r>
              <w:rPr/>
              <w:t>(25.4% - CEG)</w:t>
            </w:r>
          </w:p>
          <w:p>
            <w:pPr>
              <w:pStyle w:val="TableBody"/>
              <w:rPr/>
            </w:pPr>
            <w:r>
              <w:rPr/>
              <w:t>(33.8% - CEG-Rio)</w:t>
            </w:r>
          </w:p>
        </w:tc>
        <w:tc>
          <w:tcPr>
            <w:tcW w:w="2664" w:type="dxa"/>
            <w:tcBorders/>
          </w:tcPr>
          <w:p>
            <w:pPr>
              <w:pStyle w:val="TableBody"/>
              <w:rPr/>
            </w:pPr>
            <w:r>
              <w:rPr/>
              <w:t>Natural gas distribution and supply in Rio de Janeiro State.  576,000 customers and 2,200 km of pipes.  Total population of over 14MM in service territory.  1999 consumption of 3.5MMcm/d.</w:t>
            </w:r>
          </w:p>
        </w:tc>
        <w:tc>
          <w:tcPr>
            <w:tcW w:w="2664" w:type="dxa"/>
            <w:tcBorders>
              <w:end w:val="single" w:sz="4" w:space="0" w:color="000000"/>
            </w:tcBorders>
          </w:tcPr>
          <w:p>
            <w:pPr>
              <w:pStyle w:val="TableB1st"/>
              <w:numPr>
                <w:ilvl w:val="0"/>
                <w:numId w:val="7"/>
              </w:numPr>
              <w:tabs>
                <w:tab w:val="clear" w:pos="360"/>
                <w:tab w:val="left" w:pos="198" w:leader="none"/>
              </w:tabs>
              <w:ind w:hanging="207" w:start="216" w:end="0"/>
              <w:rPr/>
            </w:pPr>
            <w:r>
              <w:rPr/>
              <w:t>Closed-access and exclusive gas distribution concession</w:t>
            </w:r>
          </w:p>
          <w:p>
            <w:pPr>
              <w:pStyle w:val="TableB1st"/>
              <w:numPr>
                <w:ilvl w:val="0"/>
                <w:numId w:val="7"/>
              </w:numPr>
              <w:tabs>
                <w:tab w:val="clear" w:pos="360"/>
                <w:tab w:val="left" w:pos="198" w:leader="none"/>
              </w:tabs>
              <w:ind w:hanging="207" w:start="216" w:end="0"/>
              <w:rPr/>
            </w:pPr>
            <w:r>
              <w:rPr/>
              <w:t>Attractive terms of Campos Basin gas supply giving significant price and take-or-pay flexibility</w:t>
            </w:r>
          </w:p>
          <w:p>
            <w:pPr>
              <w:pStyle w:val="TableB1st"/>
              <w:numPr>
                <w:ilvl w:val="0"/>
                <w:numId w:val="7"/>
              </w:numPr>
              <w:tabs>
                <w:tab w:val="clear" w:pos="360"/>
                <w:tab w:val="left" w:pos="198" w:leader="none"/>
              </w:tabs>
              <w:ind w:hanging="207" w:start="216" w:end="0"/>
              <w:rPr/>
            </w:pPr>
            <w:r>
              <w:rPr/>
              <w:t>Substantial potential for additional efficiency improvements</w:t>
            </w:r>
          </w:p>
          <w:p>
            <w:pPr>
              <w:pStyle w:val="TableB1st"/>
              <w:numPr>
                <w:ilvl w:val="0"/>
                <w:numId w:val="7"/>
              </w:numPr>
              <w:tabs>
                <w:tab w:val="clear" w:pos="360"/>
                <w:tab w:val="left" w:pos="198" w:leader="none"/>
              </w:tabs>
              <w:ind w:hanging="207" w:start="216" w:end="0"/>
              <w:rPr/>
            </w:pPr>
            <w:r>
              <w:rPr/>
              <w:t>Favorable tariff regime</w:t>
            </w:r>
          </w:p>
          <w:p>
            <w:pPr>
              <w:pStyle w:val="TableB1st"/>
              <w:numPr>
                <w:ilvl w:val="0"/>
                <w:numId w:val="7"/>
              </w:numPr>
              <w:tabs>
                <w:tab w:val="clear" w:pos="360"/>
                <w:tab w:val="left" w:pos="198" w:leader="none"/>
              </w:tabs>
              <w:ind w:hanging="207" w:start="216" w:end="0"/>
              <w:rPr/>
            </w:pPr>
            <w:r>
              <w:rPr/>
              <w:t>Shareholders’ Agreement provides co-control on major decisions with Gas Natural and Iberdrola</w:t>
            </w:r>
          </w:p>
          <w:p>
            <w:pPr>
              <w:pStyle w:val="TableB1st"/>
              <w:numPr>
                <w:ilvl w:val="0"/>
                <w:numId w:val="7"/>
              </w:numPr>
              <w:tabs>
                <w:tab w:val="clear" w:pos="360"/>
                <w:tab w:val="left" w:pos="198" w:leader="none"/>
              </w:tabs>
              <w:ind w:hanging="207" w:start="216" w:end="0"/>
              <w:rPr/>
            </w:pPr>
            <w:r>
              <w:rPr/>
              <w:t>Configuration of electric transmission system in Southeast Brazil makes the CEG/CEG-Rio concession area optimal location for new, gas-fired generation capacity</w:t>
            </w:r>
          </w:p>
        </w:tc>
      </w:tr>
      <w:tr>
        <w:trPr/>
        <w:tc>
          <w:tcPr>
            <w:tcW w:w="1368" w:type="dxa"/>
            <w:tcBorders>
              <w:start w:val="single" w:sz="4" w:space="0" w:color="000000"/>
            </w:tcBorders>
          </w:tcPr>
          <w:p>
            <w:pPr>
              <w:pStyle w:val="TableSpacer"/>
              <w:snapToGrid w:val="false"/>
              <w:rPr/>
            </w:pPr>
            <w:r>
              <w:rPr/>
            </w:r>
          </w:p>
        </w:tc>
        <w:tc>
          <w:tcPr>
            <w:tcW w:w="2664" w:type="dxa"/>
            <w:tcBorders/>
          </w:tcPr>
          <w:p>
            <w:pPr>
              <w:pStyle w:val="TableSpacer"/>
              <w:snapToGrid w:val="false"/>
              <w:rPr/>
            </w:pPr>
            <w:r>
              <w:rPr/>
            </w:r>
          </w:p>
        </w:tc>
        <w:tc>
          <w:tcPr>
            <w:tcW w:w="2664" w:type="dxa"/>
            <w:tcBorders>
              <w:end w:val="single" w:sz="4" w:space="0" w:color="000000"/>
            </w:tcBorders>
          </w:tcPr>
          <w:p>
            <w:pPr>
              <w:pStyle w:val="TableSpacer"/>
              <w:tabs>
                <w:tab w:val="clear" w:pos="360"/>
                <w:tab w:val="left" w:pos="198" w:leader="none"/>
              </w:tabs>
              <w:snapToGrid w:val="false"/>
              <w:rPr/>
            </w:pPr>
            <w:r>
              <w:rPr/>
            </w:r>
          </w:p>
        </w:tc>
      </w:tr>
      <w:tr>
        <w:trPr/>
        <w:tc>
          <w:tcPr>
            <w:tcW w:w="1368" w:type="dxa"/>
            <w:tcBorders>
              <w:start w:val="single" w:sz="4" w:space="0" w:color="000000"/>
            </w:tcBorders>
          </w:tcPr>
          <w:p>
            <w:pPr>
              <w:pStyle w:val="TableBody"/>
              <w:rPr/>
            </w:pPr>
            <w:r>
              <w:rPr/>
              <w:t>Gaspart</w:t>
            </w:r>
          </w:p>
          <w:p>
            <w:pPr>
              <w:pStyle w:val="TableBody"/>
              <w:rPr/>
            </w:pPr>
            <w:r>
              <w:rPr/>
              <w:t>(41.0%)</w:t>
            </w:r>
          </w:p>
        </w:tc>
        <w:tc>
          <w:tcPr>
            <w:tcW w:w="2664" w:type="dxa"/>
            <w:tcBorders/>
          </w:tcPr>
          <w:p>
            <w:pPr>
              <w:pStyle w:val="TableBody"/>
              <w:rPr/>
            </w:pPr>
            <w:r>
              <w:rPr/>
              <w:t>Natural gas distribution and supply in States of Paraná and Santa Catarina (Southern Brazil) and Bahia, Sergipe, Alagoas, Pernambuco and Paraiba (Northeast Brazil).  Currently serves 234 industrial customers with short-term potential to connect at least 200,000 residential and commercial customers.  1999 consumption of 4.0 MMcm/d.</w:t>
            </w:r>
          </w:p>
        </w:tc>
        <w:tc>
          <w:tcPr>
            <w:tcW w:w="2664" w:type="dxa"/>
            <w:tcBorders>
              <w:end w:val="single" w:sz="4" w:space="0" w:color="000000"/>
            </w:tcBorders>
          </w:tcPr>
          <w:p>
            <w:pPr>
              <w:pStyle w:val="TableB1st"/>
              <w:numPr>
                <w:ilvl w:val="0"/>
                <w:numId w:val="7"/>
              </w:numPr>
              <w:tabs>
                <w:tab w:val="clear" w:pos="360"/>
                <w:tab w:val="left" w:pos="198" w:leader="none"/>
              </w:tabs>
              <w:ind w:hanging="207" w:start="216" w:end="0"/>
              <w:rPr/>
            </w:pPr>
            <w:r>
              <w:rPr/>
              <w:t>Closed-access and exclusive gas distribution concessions</w:t>
            </w:r>
          </w:p>
          <w:p>
            <w:pPr>
              <w:pStyle w:val="TableB1st"/>
              <w:numPr>
                <w:ilvl w:val="0"/>
                <w:numId w:val="7"/>
              </w:numPr>
              <w:tabs>
                <w:tab w:val="clear" w:pos="360"/>
                <w:tab w:val="left" w:pos="198" w:leader="none"/>
              </w:tabs>
              <w:ind w:hanging="207" w:start="216" w:end="0"/>
              <w:rPr/>
            </w:pPr>
            <w:r>
              <w:rPr/>
              <w:t>Favorable tariff regimes</w:t>
            </w:r>
          </w:p>
          <w:p>
            <w:pPr>
              <w:pStyle w:val="TableB1st"/>
              <w:numPr>
                <w:ilvl w:val="0"/>
                <w:numId w:val="7"/>
              </w:numPr>
              <w:tabs>
                <w:tab w:val="clear" w:pos="360"/>
                <w:tab w:val="left" w:pos="198" w:leader="none"/>
              </w:tabs>
              <w:ind w:hanging="207" w:start="216" w:end="0"/>
              <w:rPr/>
            </w:pPr>
            <w:r>
              <w:rPr/>
              <w:t>Attractive terms of local and imported gas supply giving significant price and take-or-pay flexibility</w:t>
            </w:r>
          </w:p>
          <w:p>
            <w:pPr>
              <w:pStyle w:val="TableB1st"/>
              <w:numPr>
                <w:ilvl w:val="0"/>
                <w:numId w:val="7"/>
              </w:numPr>
              <w:tabs>
                <w:tab w:val="clear" w:pos="360"/>
                <w:tab w:val="left" w:pos="198" w:leader="none"/>
              </w:tabs>
              <w:ind w:hanging="207" w:start="216" w:end="0"/>
              <w:rPr/>
            </w:pPr>
            <w:r>
              <w:rPr/>
              <w:t>Excellent platform for power plant development in South and Northeast Brazil</w:t>
            </w:r>
          </w:p>
          <w:p>
            <w:pPr>
              <w:pStyle w:val="TableB1st"/>
              <w:numPr>
                <w:ilvl w:val="0"/>
                <w:numId w:val="7"/>
              </w:numPr>
              <w:tabs>
                <w:tab w:val="clear" w:pos="360"/>
                <w:tab w:val="left" w:pos="198" w:leader="none"/>
              </w:tabs>
              <w:ind w:hanging="207" w:start="216" w:end="0"/>
              <w:rPr/>
            </w:pPr>
            <w:r>
              <w:rPr/>
              <w:t>Shareholders’ Agreement provides co-control on all issues with Petrobras and state governments</w:t>
            </w:r>
          </w:p>
          <w:p>
            <w:pPr>
              <w:pStyle w:val="TableB1st"/>
              <w:numPr>
                <w:ilvl w:val="0"/>
                <w:numId w:val="7"/>
              </w:numPr>
              <w:tabs>
                <w:tab w:val="clear" w:pos="360"/>
                <w:tab w:val="left" w:pos="198" w:leader="none"/>
              </w:tabs>
              <w:ind w:hanging="207" w:start="216" w:end="0"/>
              <w:rPr/>
            </w:pPr>
            <w:r>
              <w:rPr/>
              <w:t>Strong demand growth prospects from residential, commercial and power generation sectors with total demand expected to reach 19.6 MMcm/d in 2004</w:t>
            </w:r>
          </w:p>
        </w:tc>
      </w:tr>
      <w:tr>
        <w:trPr/>
        <w:tc>
          <w:tcPr>
            <w:tcW w:w="1368" w:type="dxa"/>
            <w:tcBorders>
              <w:start w:val="single" w:sz="4" w:space="0" w:color="000000"/>
              <w:bottom w:val="single" w:sz="4" w:space="0" w:color="000000"/>
            </w:tcBorders>
          </w:tcPr>
          <w:p>
            <w:pPr>
              <w:pStyle w:val="TableSpacer"/>
              <w:snapToGrid w:val="false"/>
              <w:rPr/>
            </w:pPr>
            <w:r>
              <w:rPr/>
            </w:r>
          </w:p>
        </w:tc>
        <w:tc>
          <w:tcPr>
            <w:tcW w:w="2664" w:type="dxa"/>
            <w:tcBorders>
              <w:bottom w:val="single" w:sz="4" w:space="0" w:color="000000"/>
            </w:tcBorders>
          </w:tcPr>
          <w:p>
            <w:pPr>
              <w:pStyle w:val="TableSpacer"/>
              <w:snapToGrid w:val="false"/>
              <w:rPr/>
            </w:pPr>
            <w:r>
              <w:rPr/>
            </w:r>
          </w:p>
        </w:tc>
        <w:tc>
          <w:tcPr>
            <w:tcW w:w="2664" w:type="dxa"/>
            <w:tcBorders>
              <w:bottom w:val="single" w:sz="4" w:space="0" w:color="000000"/>
              <w:end w:val="single" w:sz="4" w:space="0" w:color="000000"/>
            </w:tcBorders>
          </w:tcPr>
          <w:p>
            <w:pPr>
              <w:pStyle w:val="TableSpacer"/>
              <w:snapToGrid w:val="false"/>
              <w:rPr/>
            </w:pPr>
            <w:r>
              <w:rPr/>
            </w:r>
          </w:p>
        </w:tc>
      </w:tr>
      <w:tr>
        <w:trPr/>
        <w:tc>
          <w:tcPr>
            <w:tcW w:w="6696" w:type="dxa"/>
            <w:gridSpan w:val="3"/>
            <w:tcBorders>
              <w:top w:val="single" w:sz="4" w:space="0" w:color="000000"/>
            </w:tcBorders>
          </w:tcPr>
          <w:p>
            <w:pPr>
              <w:pStyle w:val="TableB1st"/>
              <w:numPr>
                <w:ilvl w:val="0"/>
                <w:numId w:val="0"/>
              </w:numPr>
              <w:ind w:hanging="0" w:start="0"/>
              <w:rPr/>
            </w:pPr>
            <w:r>
              <w:rPr/>
              <w:t>Note: (1). The percentages represent Enron’s net direct and indirect economic interest in the asset.</w:t>
            </w:r>
          </w:p>
        </w:tc>
      </w:tr>
      <w:tr>
        <w:trPr/>
        <w:tc>
          <w:tcPr>
            <w:tcW w:w="6696" w:type="dxa"/>
            <w:gridSpan w:val="3"/>
            <w:tcBorders/>
          </w:tcPr>
          <w:p>
            <w:pPr>
              <w:pStyle w:val="Normal"/>
              <w:keepNext w:val="true"/>
              <w:keepLines/>
              <w:spacing w:before="0" w:after="220"/>
              <w:jc w:val="both"/>
              <w:rPr>
                <w:u w:val="single"/>
              </w:rPr>
            </w:pPr>
            <w:r>
              <w:rPr>
                <w:u w:val="single"/>
              </w:rPr>
              <w:t>Power Generation</w:t>
            </w:r>
          </w:p>
        </w:tc>
      </w:tr>
      <w:tr>
        <w:trPr/>
        <w:tc>
          <w:tcPr>
            <w:tcW w:w="1368" w:type="dxa"/>
            <w:tcBorders>
              <w:top w:val="single" w:sz="4" w:space="0" w:color="000000"/>
              <w:start w:val="single" w:sz="4" w:space="0" w:color="000000"/>
            </w:tcBorders>
            <w:shd w:fill="FFFF00" w:val="clear"/>
            <w:vAlign w:val="bottom"/>
          </w:tcPr>
          <w:p>
            <w:pPr>
              <w:pStyle w:val="TableBody"/>
              <w:keepNext w:val="true"/>
              <w:keepLines/>
              <w:spacing w:before="60" w:after="60"/>
              <w:jc w:val="center"/>
              <w:rPr>
                <w:b/>
              </w:rPr>
            </w:pPr>
            <w:r>
              <w:rPr>
                <w:b/>
              </w:rPr>
              <w:t>Asset</w:t>
            </w:r>
            <w:r>
              <w:rPr>
                <w:b/>
                <w:vertAlign w:val="superscript"/>
              </w:rPr>
              <w:t>(1)</w:t>
            </w:r>
          </w:p>
        </w:tc>
        <w:tc>
          <w:tcPr>
            <w:tcW w:w="2664" w:type="dxa"/>
            <w:tcBorders>
              <w:top w:val="single" w:sz="4" w:space="0" w:color="000000"/>
            </w:tcBorders>
            <w:shd w:fill="FFFF00" w:val="clear"/>
            <w:vAlign w:val="bottom"/>
          </w:tcPr>
          <w:p>
            <w:pPr>
              <w:pStyle w:val="TableBody"/>
              <w:keepNext w:val="true"/>
              <w:keepLines/>
              <w:spacing w:before="60" w:after="60"/>
              <w:jc w:val="center"/>
              <w:rPr>
                <w:b/>
              </w:rPr>
            </w:pPr>
            <w:r>
              <w:rPr>
                <w:b/>
              </w:rPr>
              <w:t>Description</w:t>
            </w:r>
          </w:p>
        </w:tc>
        <w:tc>
          <w:tcPr>
            <w:tcW w:w="2664" w:type="dxa"/>
            <w:tcBorders>
              <w:top w:val="single" w:sz="4" w:space="0" w:color="000000"/>
              <w:end w:val="single" w:sz="4" w:space="0" w:color="000000"/>
            </w:tcBorders>
            <w:shd w:fill="FFFF00" w:val="clear"/>
            <w:vAlign w:val="bottom"/>
          </w:tcPr>
          <w:p>
            <w:pPr>
              <w:pStyle w:val="TableBody"/>
              <w:keepNext w:val="true"/>
              <w:keepLines/>
              <w:spacing w:before="60" w:after="60"/>
              <w:jc w:val="center"/>
              <w:rPr>
                <w:b/>
              </w:rPr>
            </w:pPr>
            <w:r>
              <w:rPr>
                <w:b/>
              </w:rPr>
              <w:t>Highlights and Development Potential</w:t>
            </w:r>
          </w:p>
        </w:tc>
      </w:tr>
      <w:tr>
        <w:trPr/>
        <w:tc>
          <w:tcPr>
            <w:tcW w:w="6696" w:type="dxa"/>
            <w:gridSpan w:val="3"/>
            <w:tcBorders>
              <w:top w:val="single" w:sz="4" w:space="0" w:color="000000"/>
              <w:start w:val="single" w:sz="4" w:space="0" w:color="000000"/>
              <w:end w:val="single" w:sz="4" w:space="0" w:color="000000"/>
            </w:tcBorders>
          </w:tcPr>
          <w:p>
            <w:pPr>
              <w:pStyle w:val="TableHead"/>
              <w:pBdr>
                <w:bottom w:val="nil"/>
              </w:pBdr>
              <w:spacing w:lineRule="exact" w:line="120"/>
              <w:jc w:val="start"/>
              <w:rPr>
                <w:sz w:val="12"/>
              </w:rPr>
            </w:pPr>
            <w:r>
              <w:rPr>
                <w:rStyle w:val="hidden"/>
              </w:rPr>
              <w:t>DO NOT DELETE</w:t>
            </w:r>
          </w:p>
        </w:tc>
      </w:tr>
      <w:tr>
        <w:trPr/>
        <w:tc>
          <w:tcPr>
            <w:tcW w:w="1368" w:type="dxa"/>
            <w:tcBorders>
              <w:start w:val="single" w:sz="4" w:space="0" w:color="000000"/>
            </w:tcBorders>
          </w:tcPr>
          <w:p>
            <w:pPr>
              <w:pStyle w:val="TableBody"/>
              <w:keepNext w:val="true"/>
              <w:keepLines/>
              <w:rPr/>
            </w:pPr>
            <w:r>
              <w:rPr/>
              <w:t>Cuiabá Project</w:t>
            </w:r>
          </w:p>
          <w:p>
            <w:pPr>
              <w:pStyle w:val="TableBody"/>
              <w:keepNext w:val="true"/>
              <w:keepLines/>
              <w:rPr/>
            </w:pPr>
            <w:r>
              <w:rPr/>
              <w:t>(55.8% -EPE)</w:t>
            </w:r>
          </w:p>
          <w:p>
            <w:pPr>
              <w:pStyle w:val="TableBody"/>
              <w:keepNext w:val="true"/>
              <w:keepLines/>
              <w:rPr/>
            </w:pPr>
            <w:r>
              <w:rPr/>
              <w:t>(35.0% - GasBol)</w:t>
            </w:r>
          </w:p>
          <w:p>
            <w:pPr>
              <w:pStyle w:val="TableBody"/>
              <w:keepNext w:val="true"/>
              <w:keepLines/>
              <w:rPr/>
            </w:pPr>
            <w:r>
              <w:rPr/>
              <w:t>(53.1% - GasMat)</w:t>
            </w:r>
          </w:p>
        </w:tc>
        <w:tc>
          <w:tcPr>
            <w:tcW w:w="2664" w:type="dxa"/>
            <w:tcBorders/>
          </w:tcPr>
          <w:p>
            <w:pPr>
              <w:pStyle w:val="TableBody"/>
              <w:keepNext w:val="true"/>
              <w:keepLines/>
              <w:rPr/>
            </w:pPr>
            <w:r>
              <w:rPr/>
              <w:t>Integrated gas pipeline and power generation project to include 630 km, 18” pipeline and total projected capacity of 1,440 MW.  Cuiabá I with 480 MW of projected capacity and associated pipelines to be complete by 4Q2000.  Natural gas to be supplied by TBS, a majority owned affiliate of Enron.  Long-term power purchase agreement with Furnas, a wholly owned subsidiary of Eletrobras.</w:t>
            </w:r>
          </w:p>
        </w:tc>
        <w:tc>
          <w:tcPr>
            <w:tcW w:w="2664" w:type="dxa"/>
            <w:tcBorders>
              <w:end w:val="single" w:sz="4" w:space="0" w:color="000000"/>
            </w:tcBorders>
          </w:tcPr>
          <w:p>
            <w:pPr>
              <w:pStyle w:val="TableB1st"/>
              <w:keepNext w:val="true"/>
              <w:keepLines/>
              <w:numPr>
                <w:ilvl w:val="0"/>
                <w:numId w:val="7"/>
              </w:numPr>
              <w:tabs>
                <w:tab w:val="clear" w:pos="360"/>
                <w:tab w:val="left" w:pos="198" w:leader="none"/>
              </w:tabs>
              <w:ind w:hanging="207" w:start="216" w:end="0"/>
              <w:rPr/>
            </w:pPr>
            <w:r>
              <w:rPr/>
              <w:t>First privately controlled gas pipeline into Brazil</w:t>
            </w:r>
          </w:p>
          <w:p>
            <w:pPr>
              <w:pStyle w:val="TableB1st"/>
              <w:keepNext w:val="true"/>
              <w:keepLines/>
              <w:numPr>
                <w:ilvl w:val="0"/>
                <w:numId w:val="7"/>
              </w:numPr>
              <w:tabs>
                <w:tab w:val="clear" w:pos="360"/>
                <w:tab w:val="left" w:pos="198" w:leader="none"/>
              </w:tabs>
              <w:ind w:hanging="207" w:start="216" w:end="0"/>
              <w:rPr/>
            </w:pPr>
            <w:r>
              <w:rPr/>
              <w:t>First privately financed thermal IPP in Brazil</w:t>
            </w:r>
          </w:p>
          <w:p>
            <w:pPr>
              <w:pStyle w:val="TableB1st"/>
              <w:keepNext w:val="true"/>
              <w:keepLines/>
              <w:numPr>
                <w:ilvl w:val="0"/>
                <w:numId w:val="7"/>
              </w:numPr>
              <w:tabs>
                <w:tab w:val="clear" w:pos="360"/>
                <w:tab w:val="left" w:pos="198" w:leader="none"/>
              </w:tabs>
              <w:ind w:hanging="207" w:start="216" w:end="0"/>
              <w:rPr/>
            </w:pPr>
            <w:r>
              <w:rPr/>
              <w:t>Cuiabá II with 480 MW of projected capacity and emergency plant status should enter service in 2003</w:t>
            </w:r>
          </w:p>
          <w:p>
            <w:pPr>
              <w:pStyle w:val="TableB1st"/>
              <w:keepNext w:val="true"/>
              <w:keepLines/>
              <w:numPr>
                <w:ilvl w:val="0"/>
                <w:numId w:val="7"/>
              </w:numPr>
              <w:tabs>
                <w:tab w:val="clear" w:pos="360"/>
                <w:tab w:val="left" w:pos="198" w:leader="none"/>
              </w:tabs>
              <w:ind w:hanging="207" w:start="216" w:end="0"/>
              <w:rPr/>
            </w:pPr>
            <w:r>
              <w:rPr/>
              <w:t>Cuiabá III with 480 MW of projected capacity should enter service in [2005]</w:t>
            </w:r>
          </w:p>
          <w:p>
            <w:pPr>
              <w:pStyle w:val="TableB1st"/>
              <w:keepNext w:val="true"/>
              <w:keepLines/>
              <w:numPr>
                <w:ilvl w:val="0"/>
                <w:numId w:val="7"/>
              </w:numPr>
              <w:tabs>
                <w:tab w:val="clear" w:pos="360"/>
                <w:tab w:val="left" w:pos="198" w:leader="none"/>
              </w:tabs>
              <w:ind w:hanging="207" w:start="216" w:end="0"/>
              <w:rPr/>
            </w:pPr>
            <w:r>
              <w:rPr/>
              <w:t>Minimal investment in the pipeline required to supply full requirements of the power plants</w:t>
            </w:r>
          </w:p>
          <w:p>
            <w:pPr>
              <w:pStyle w:val="TableB1st"/>
              <w:keepNext w:val="true"/>
              <w:keepLines/>
              <w:numPr>
                <w:ilvl w:val="0"/>
                <w:numId w:val="7"/>
              </w:numPr>
              <w:tabs>
                <w:tab w:val="clear" w:pos="360"/>
                <w:tab w:val="left" w:pos="198" w:leader="none"/>
              </w:tabs>
              <w:ind w:hanging="207" w:start="216" w:end="0"/>
              <w:rPr/>
            </w:pPr>
            <w:r>
              <w:rPr/>
              <w:t>Enron controls the Power Plant and Gasmat and co-controls Gasbol with Shell</w:t>
            </w:r>
          </w:p>
          <w:p>
            <w:pPr>
              <w:pStyle w:val="TableB1st"/>
              <w:keepNext w:val="true"/>
              <w:keepLines/>
              <w:numPr>
                <w:ilvl w:val="0"/>
                <w:numId w:val="7"/>
              </w:numPr>
              <w:tabs>
                <w:tab w:val="clear" w:pos="360"/>
                <w:tab w:val="left" w:pos="198" w:leader="none"/>
              </w:tabs>
              <w:ind w:hanging="207" w:start="216" w:end="0"/>
              <w:rPr/>
            </w:pPr>
            <w:r>
              <w:rPr/>
              <w:t>Significant flexibility and optionality in gas supply arrangement</w:t>
            </w:r>
          </w:p>
        </w:tc>
      </w:tr>
      <w:tr>
        <w:trPr/>
        <w:tc>
          <w:tcPr>
            <w:tcW w:w="1368" w:type="dxa"/>
            <w:tcBorders>
              <w:start w:val="single" w:sz="4" w:space="0" w:color="000000"/>
            </w:tcBorders>
          </w:tcPr>
          <w:p>
            <w:pPr>
              <w:pStyle w:val="TableSpacer"/>
              <w:keepNext w:val="true"/>
              <w:keepLines/>
              <w:snapToGrid w:val="false"/>
              <w:rPr/>
            </w:pPr>
            <w:r>
              <w:rPr/>
            </w:r>
          </w:p>
        </w:tc>
        <w:tc>
          <w:tcPr>
            <w:tcW w:w="2664" w:type="dxa"/>
            <w:tcBorders/>
          </w:tcPr>
          <w:p>
            <w:pPr>
              <w:pStyle w:val="TableSpacer"/>
              <w:keepNext w:val="true"/>
              <w:keepLines/>
              <w:snapToGrid w:val="false"/>
              <w:rPr/>
            </w:pPr>
            <w:r>
              <w:rPr/>
            </w:r>
          </w:p>
        </w:tc>
        <w:tc>
          <w:tcPr>
            <w:tcW w:w="2664" w:type="dxa"/>
            <w:tcBorders>
              <w:end w:val="single" w:sz="4" w:space="0" w:color="000000"/>
            </w:tcBorders>
          </w:tcPr>
          <w:p>
            <w:pPr>
              <w:pStyle w:val="TableSpacer"/>
              <w:keepNext w:val="true"/>
              <w:keepLines/>
              <w:tabs>
                <w:tab w:val="clear" w:pos="360"/>
                <w:tab w:val="left" w:pos="198" w:leader="none"/>
              </w:tabs>
              <w:snapToGrid w:val="false"/>
              <w:rPr/>
            </w:pPr>
            <w:r>
              <w:rPr/>
            </w:r>
          </w:p>
        </w:tc>
      </w:tr>
      <w:tr>
        <w:trPr/>
        <w:tc>
          <w:tcPr>
            <w:tcW w:w="1368" w:type="dxa"/>
            <w:tcBorders>
              <w:start w:val="single" w:sz="4" w:space="0" w:color="000000"/>
            </w:tcBorders>
          </w:tcPr>
          <w:p>
            <w:pPr>
              <w:pStyle w:val="TableBody"/>
              <w:keepNext w:val="true"/>
              <w:keepLines/>
              <w:rPr/>
            </w:pPr>
            <w:r>
              <w:rPr/>
              <w:t>Riogen I and II</w:t>
            </w:r>
          </w:p>
          <w:p>
            <w:pPr>
              <w:pStyle w:val="TableBody"/>
              <w:keepNext w:val="true"/>
              <w:keepLines/>
              <w:rPr/>
            </w:pPr>
            <w:r>
              <w:rPr/>
              <w:t>([100%])</w:t>
            </w:r>
          </w:p>
        </w:tc>
        <w:tc>
          <w:tcPr>
            <w:tcW w:w="2664" w:type="dxa"/>
            <w:tcBorders/>
          </w:tcPr>
          <w:p>
            <w:pPr>
              <w:pStyle w:val="TableBody"/>
              <w:keepNext w:val="true"/>
              <w:keepLines/>
              <w:rPr/>
            </w:pPr>
            <w:r>
              <w:rPr/>
              <w:t>960MW, gas-fired power generation project.  Strategically located in State of Rio de Janeiro.</w:t>
            </w:r>
          </w:p>
        </w:tc>
        <w:tc>
          <w:tcPr>
            <w:tcW w:w="2664" w:type="dxa"/>
            <w:tcBorders>
              <w:end w:val="single" w:sz="4" w:space="0" w:color="000000"/>
            </w:tcBorders>
          </w:tcPr>
          <w:p>
            <w:pPr>
              <w:pStyle w:val="TableB1st"/>
              <w:keepNext w:val="true"/>
              <w:keepLines/>
              <w:numPr>
                <w:ilvl w:val="0"/>
                <w:numId w:val="7"/>
              </w:numPr>
              <w:tabs>
                <w:tab w:val="clear" w:pos="360"/>
                <w:tab w:val="left" w:pos="198" w:leader="none"/>
              </w:tabs>
              <w:ind w:hanging="207" w:start="216" w:end="0"/>
              <w:rPr/>
            </w:pPr>
            <w:r>
              <w:rPr/>
              <w:t>Riogen I (480 MW) has emergency plant status and will be contracted to Elektro and third parties.  Completion scheduled for end of 2002</w:t>
            </w:r>
          </w:p>
          <w:p>
            <w:pPr>
              <w:pStyle w:val="TableB1st"/>
              <w:keepNext w:val="true"/>
              <w:keepLines/>
              <w:numPr>
                <w:ilvl w:val="0"/>
                <w:numId w:val="7"/>
              </w:numPr>
              <w:tabs>
                <w:tab w:val="clear" w:pos="360"/>
                <w:tab w:val="left" w:pos="198" w:leader="none"/>
              </w:tabs>
              <w:ind w:hanging="207" w:start="216" w:end="0"/>
              <w:rPr/>
            </w:pPr>
            <w:r>
              <w:rPr/>
              <w:t>Negative transmission charges as a result of location in Rio de Janeiro</w:t>
            </w:r>
          </w:p>
          <w:p>
            <w:pPr>
              <w:pStyle w:val="TableB1st"/>
              <w:keepNext w:val="true"/>
              <w:keepLines/>
              <w:numPr>
                <w:ilvl w:val="0"/>
                <w:numId w:val="7"/>
              </w:numPr>
              <w:tabs>
                <w:tab w:val="clear" w:pos="360"/>
                <w:tab w:val="left" w:pos="198" w:leader="none"/>
              </w:tabs>
              <w:ind w:hanging="207" w:start="216" w:end="0"/>
              <w:rPr/>
            </w:pPr>
            <w:r>
              <w:rPr/>
              <w:t>Scope for expansion to 960MW</w:t>
            </w:r>
          </w:p>
          <w:p>
            <w:pPr>
              <w:pStyle w:val="TableB1st"/>
              <w:keepNext w:val="true"/>
              <w:keepLines/>
              <w:numPr>
                <w:ilvl w:val="0"/>
                <w:numId w:val="7"/>
              </w:numPr>
              <w:tabs>
                <w:tab w:val="clear" w:pos="360"/>
                <w:tab w:val="left" w:pos="198" w:leader="none"/>
              </w:tabs>
              <w:ind w:hanging="207" w:start="216" w:end="0"/>
              <w:rPr/>
            </w:pPr>
            <w:r>
              <w:rPr/>
              <w:t>Riogen II will also be contracted to Elektro and third parties</w:t>
            </w:r>
          </w:p>
        </w:tc>
      </w:tr>
      <w:tr>
        <w:trPr/>
        <w:tc>
          <w:tcPr>
            <w:tcW w:w="1368" w:type="dxa"/>
            <w:tcBorders>
              <w:start w:val="single" w:sz="4" w:space="0" w:color="000000"/>
            </w:tcBorders>
          </w:tcPr>
          <w:p>
            <w:pPr>
              <w:pStyle w:val="TableSpacer"/>
              <w:keepNext w:val="true"/>
              <w:keepLines/>
              <w:snapToGrid w:val="false"/>
              <w:rPr/>
            </w:pPr>
            <w:r>
              <w:rPr/>
            </w:r>
          </w:p>
        </w:tc>
        <w:tc>
          <w:tcPr>
            <w:tcW w:w="2664" w:type="dxa"/>
            <w:tcBorders/>
          </w:tcPr>
          <w:p>
            <w:pPr>
              <w:pStyle w:val="TableSpacer"/>
              <w:keepNext w:val="true"/>
              <w:keepLines/>
              <w:snapToGrid w:val="false"/>
              <w:rPr/>
            </w:pPr>
            <w:r>
              <w:rPr/>
            </w:r>
          </w:p>
        </w:tc>
        <w:tc>
          <w:tcPr>
            <w:tcW w:w="2664" w:type="dxa"/>
            <w:tcBorders>
              <w:end w:val="single" w:sz="4" w:space="0" w:color="000000"/>
            </w:tcBorders>
          </w:tcPr>
          <w:p>
            <w:pPr>
              <w:pStyle w:val="TableSpacer"/>
              <w:keepNext w:val="true"/>
              <w:keepLines/>
              <w:tabs>
                <w:tab w:val="clear" w:pos="360"/>
                <w:tab w:val="left" w:pos="198" w:leader="none"/>
              </w:tabs>
              <w:snapToGrid w:val="false"/>
              <w:rPr/>
            </w:pPr>
            <w:r>
              <w:rPr/>
            </w:r>
          </w:p>
        </w:tc>
      </w:tr>
      <w:tr>
        <w:trPr/>
        <w:tc>
          <w:tcPr>
            <w:tcW w:w="1368" w:type="dxa"/>
            <w:tcBorders>
              <w:start w:val="single" w:sz="4" w:space="0" w:color="000000"/>
              <w:bottom w:val="single" w:sz="4" w:space="0" w:color="000000"/>
            </w:tcBorders>
          </w:tcPr>
          <w:p>
            <w:pPr>
              <w:pStyle w:val="TableBody"/>
              <w:keepNext w:val="true"/>
              <w:keepLines/>
              <w:rPr/>
            </w:pPr>
            <w:r>
              <w:rPr/>
              <w:t>Puerto Suarez</w:t>
            </w:r>
          </w:p>
          <w:p>
            <w:pPr>
              <w:pStyle w:val="TableBody"/>
              <w:keepNext w:val="true"/>
              <w:keepLines/>
              <w:rPr/>
            </w:pPr>
            <w:r>
              <w:rPr/>
              <w:t>([100%])</w:t>
            </w:r>
          </w:p>
        </w:tc>
        <w:tc>
          <w:tcPr>
            <w:tcW w:w="2664" w:type="dxa"/>
            <w:tcBorders>
              <w:bottom w:val="single" w:sz="4" w:space="0" w:color="000000"/>
            </w:tcBorders>
          </w:tcPr>
          <w:p>
            <w:pPr>
              <w:pStyle w:val="TableBody"/>
              <w:keepNext w:val="true"/>
              <w:keepLines/>
              <w:rPr/>
            </w:pPr>
            <w:r>
              <w:rPr/>
              <w:t>150MW gas-fired power generation project located in Bolivia to supply Brazil.  Completion scheduled for late [2001].</w:t>
            </w:r>
          </w:p>
        </w:tc>
        <w:tc>
          <w:tcPr>
            <w:tcW w:w="2664" w:type="dxa"/>
            <w:tcBorders>
              <w:bottom w:val="single" w:sz="4" w:space="0" w:color="000000"/>
              <w:end w:val="single" w:sz="4" w:space="0" w:color="000000"/>
            </w:tcBorders>
          </w:tcPr>
          <w:p>
            <w:pPr>
              <w:pStyle w:val="TableB1st"/>
              <w:keepNext w:val="true"/>
              <w:keepLines/>
              <w:numPr>
                <w:ilvl w:val="0"/>
                <w:numId w:val="7"/>
              </w:numPr>
              <w:tabs>
                <w:tab w:val="clear" w:pos="360"/>
                <w:tab w:val="left" w:pos="198" w:leader="none"/>
              </w:tabs>
              <w:ind w:hanging="207" w:start="216" w:end="0"/>
              <w:rPr/>
            </w:pPr>
            <w:r>
              <w:rPr/>
              <w:t>First private gas-by-wire project targeted at Brazilian market</w:t>
            </w:r>
          </w:p>
          <w:p>
            <w:pPr>
              <w:pStyle w:val="TableB1st"/>
              <w:keepNext w:val="true"/>
              <w:keepLines/>
              <w:numPr>
                <w:ilvl w:val="0"/>
                <w:numId w:val="7"/>
              </w:numPr>
              <w:tabs>
                <w:tab w:val="clear" w:pos="360"/>
                <w:tab w:val="left" w:pos="198" w:leader="none"/>
              </w:tabs>
              <w:ind w:hanging="207" w:start="216" w:end="0"/>
              <w:rPr/>
            </w:pPr>
            <w:r>
              <w:rPr/>
              <w:t>Expected to be contracted to Elektro and third parties</w:t>
            </w:r>
          </w:p>
        </w:tc>
      </w:tr>
      <w:tr>
        <w:trPr/>
        <w:tc>
          <w:tcPr>
            <w:tcW w:w="6696" w:type="dxa"/>
            <w:gridSpan w:val="3"/>
            <w:tcBorders/>
          </w:tcPr>
          <w:p>
            <w:pPr>
              <w:pStyle w:val="TableB1st"/>
              <w:numPr>
                <w:ilvl w:val="0"/>
                <w:numId w:val="0"/>
              </w:numPr>
              <w:ind w:hanging="0" w:start="0"/>
              <w:rPr/>
            </w:pPr>
            <w:r>
              <w:rPr/>
              <w:t>Note: (1). The percentages represent Enron’s net direct and indirect economic interest in the asset.</w:t>
            </w:r>
          </w:p>
        </w:tc>
      </w:tr>
    </w:tbl>
    <w:p>
      <w:pPr>
        <w:pStyle w:val="BLKmed1st11"/>
        <w:spacing w:before="220" w:after="220"/>
        <w:rPr/>
      </w:pPr>
      <w:r>
        <w:rPr>
          <w:u w:val="none"/>
        </w:rPr>
        <w:t xml:space="preserve">The countries of the rapidly growing Southern Region, as well as Chile, Paraguay, Peru and Uruguay, which are soon expected to comprise a single regional energy network, had an estimated aggregate population of approximately 240 million and an aggregate GDP of approximately US$ 950 billion in 1999.  Following a period of volatility and uncertainty as a result of the emerging markets crisis of the last two years that resulted in the devaluation of the Brazilian </w:t>
      </w:r>
      <w:r>
        <w:rPr>
          <w:i/>
          <w:u w:val="none"/>
        </w:rPr>
        <w:t>Real</w:t>
      </w:r>
      <w:r>
        <w:rPr>
          <w:u w:val="none"/>
        </w:rPr>
        <w:t xml:space="preserve"> in January 1999, the region is now widely accepted to be poised for a period of strong growth with low inflation.  The macroeconomic fundamentals of the region have improved substantially with fiscal deficits under greater control, trade balances improving and real interest rates returning to more normal levels.  In Brazil, the economy has recovered strongly from the 1999 devaluation with real GDP growth expected to be 3.4% in 2000 and 3.8% in 2001.  Argentina’s economy is recovering from recession and is projected to grow at 4.0% and 5.0% in 2000 and 2001, respectively (Source: MSDW Equity Research).  Bolivia is also expected to show strong growth over the next two years of 5.0% (Source: EIU).  While the Argentine Peso is pegged to the US dollar at 1:1 by law, the Bolivian Boliviano average exchange rate for 1999 was 5.77 Bo$/US$.</w:t>
      </w:r>
      <w:r>
        <mc:AlternateContent>
          <mc:Choice Requires="wps">
            <w:drawing>
              <wp:anchor behindDoc="0" distT="0" distB="0" distL="0" distR="0" simplePos="0" locked="0" layoutInCell="0" allowOverlap="1" relativeHeight="5">
                <wp:simplePos x="0" y="0"/>
                <wp:positionH relativeFrom="page">
                  <wp:posOffset>686435</wp:posOffset>
                </wp:positionH>
                <wp:positionV relativeFrom="paragraph">
                  <wp:posOffset>119380</wp:posOffset>
                </wp:positionV>
                <wp:extent cx="1801495" cy="321310"/>
                <wp:effectExtent l="0" t="0" r="0" b="0"/>
                <wp:wrapSquare wrapText="bothSides"/>
                <wp:docPr id="4" name="Frame3"/>
                <a:graphic xmlns:a="http://schemas.openxmlformats.org/drawingml/2006/main">
                  <a:graphicData uri="http://schemas.microsoft.com/office/word/2010/wordprocessingShape">
                    <wps:wsp>
                      <wps:cNvSpPr txBox="1"/>
                      <wps:spPr>
                        <a:xfrm>
                          <a:off x="0" y="0"/>
                          <a:ext cx="1801495" cy="321310"/>
                        </a:xfrm>
                        <a:prstGeom prst="rect"/>
                        <a:solidFill>
                          <a:srgbClr val="FFFFFF">
                            <a:alpha val="0"/>
                          </a:srgbClr>
                        </a:solidFill>
                      </wps:spPr>
                      <wps:txbx>
                        <w:txbxContent>
                          <w:p>
                            <w:pPr>
                              <w:pStyle w:val="zSideBar"/>
                              <w:rPr/>
                            </w:pPr>
                            <w:r>
                              <w:rPr/>
                              <w:t>Regional Macroeconomic and Energy Overview</w:t>
                            </w:r>
                          </w:p>
                        </w:txbxContent>
                      </wps:txbx>
                      <wps:bodyPr anchor="t" lIns="0" tIns="0" rIns="0" bIns="0">
                        <a:noAutofit/>
                      </wps:bodyPr>
                    </wps:wsp>
                  </a:graphicData>
                </a:graphic>
              </wp:anchor>
            </w:drawing>
          </mc:Choice>
          <mc:Fallback>
            <w:pict>
              <v:rect fillcolor="#FFFFFF" style="position:absolute;rotation:-0;width:141.85pt;height:25.3pt;mso-wrap-distance-left:0pt;mso-wrap-distance-right:0pt;mso-wrap-distance-top:0pt;mso-wrap-distance-bottom:0pt;margin-top:9.4pt;mso-position-vertical-relative:text;margin-left:54.05pt;mso-position-horizontal-relative:page">
                <v:fill opacity="0f"/>
                <v:textbox inset="0in,0in,0in,0in">
                  <w:txbxContent>
                    <w:p>
                      <w:pPr>
                        <w:pStyle w:val="zSideBar"/>
                        <w:rPr/>
                      </w:pPr>
                      <w:r>
                        <w:rPr/>
                        <w:t>Regional Macroeconomic and Energy Overview</w:t>
                      </w:r>
                    </w:p>
                  </w:txbxContent>
                </v:textbox>
                <w10:wrap type="square"/>
              </v:rect>
            </w:pict>
          </mc:Fallback>
        </mc:AlternateContent>
      </w:r>
    </w:p>
    <w:p>
      <w:pPr>
        <w:pStyle w:val="BLKmed1st11"/>
        <w:rPr>
          <w:u w:val="none"/>
        </w:rPr>
      </w:pPr>
      <w:r>
        <w:rPr>
          <w:u w:val="none"/>
        </w:rPr>
        <w:t>It is also important to highlight that the role of the private sector in most areas of the economy in general and the energy industry in particular has been substantially enhanced over the last decade. From a regional standpoint, most of the basic infrastructure, including natural gas reserves, pipelines, gas distribution assets, power generation and distribution assets are in private sector control.  In addition, there is an increasingly free flow of products and services across borders within the Southern Cone.  This policy shift towards private sector involvement and free trade provide for the first time the commercial credibility and financial creditworthiness required by lenders in order to provide funding for the significant infrastructure investments that will be required.</w:t>
      </w:r>
    </w:p>
    <w:p>
      <w:pPr>
        <w:pStyle w:val="BLKmed1st11"/>
        <w:rPr>
          <w:u w:val="none"/>
        </w:rPr>
      </w:pPr>
      <w:r>
        <w:rPr>
          <w:u w:val="none"/>
        </w:rPr>
        <w:t>The energy markets of these countries are among the fastest growing in the world.  Major gas reserves have been discovered in Argentina (970 Bncm), Bolivia (398 Bncm) and Peru (381] Bncm).  [Need updated number for March 2000].  A new round of exploration is taking place in Brazil that is widely expected to discover substantial new onshore and offshore gas reserves (currently estimated at 465 Bncm) in addition to those that have already been proven in the Campos Basin.  While Argentina has a highly developed natural gas transmission and distribution system, the gas markets of other countries shown in the chart below, and especially Brazil, are at earlier stages of development, with natural gas representing a relatively small share of their primary energy consumption.</w:t>
      </w:r>
    </w:p>
    <w:p>
      <w:pPr>
        <w:pStyle w:val="Normal"/>
        <w:keepNext w:val="true"/>
        <w:jc w:val="center"/>
        <w:rPr>
          <w:rFonts w:ascii="Arial Narrow" w:hAnsi="Arial Narrow" w:cs="Arial Narrow"/>
          <w:b/>
          <w:color w:val="000000"/>
          <w:sz w:val="20"/>
          <w:lang w:val="en-GB" w:eastAsia="en-US"/>
        </w:rPr>
      </w:pPr>
      <w:r>
        <w:rPr>
          <w:rFonts w:cs="Arial Narrow" w:ascii="Arial Narrow" w:hAnsi="Arial Narrow"/>
          <w:b/>
          <w:color w:val="000000"/>
          <w:sz w:val="20"/>
          <w:lang w:val="en-GB" w:eastAsia="en-US"/>
        </w:rPr>
        <w:t>Natural Gas Share in Primary Energy Consumption</w:t>
      </w:r>
    </w:p>
    <w:p>
      <w:pPr>
        <w:pStyle w:val="Normal"/>
        <w:keepNext w:val="true"/>
        <w:jc w:val="center"/>
        <w:rPr/>
      </w:pPr>
      <w:r>
        <w:rPr>
          <w:rFonts w:cs="Arial Narrow" w:ascii="Arial Narrow" w:hAnsi="Arial Narrow"/>
          <w:b/>
          <w:color w:val="000000"/>
          <w:lang w:val="en-GB" w:eastAsia="en-US"/>
        </w:rPr>
        <w:drawing>
          <wp:inline distT="0" distB="0" distL="0" distR="0">
            <wp:extent cx="4113530" cy="2720975"/>
            <wp:effectExtent l="0" t="0" r="0" b="0"/>
            <wp:docPr id="5"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title=""/>
                    <pic:cNvPicPr>
                      <a:picLocks noChangeAspect="1" noChangeArrowheads="1"/>
                    </pic:cNvPicPr>
                  </pic:nvPicPr>
                  <pic:blipFill>
                    <a:blip r:embed="rId7"/>
                    <a:srcRect l="-5" t="-7" r="-5" b="-7"/>
                    <a:stretch>
                      <a:fillRect/>
                    </a:stretch>
                  </pic:blipFill>
                  <pic:spPr bwMode="auto">
                    <a:xfrm>
                      <a:off x="0" y="0"/>
                      <a:ext cx="4113530" cy="2720975"/>
                    </a:xfrm>
                    <a:prstGeom prst="rect">
                      <a:avLst/>
                    </a:prstGeom>
                    <a:noFill/>
                  </pic:spPr>
                </pic:pic>
              </a:graphicData>
            </a:graphic>
          </wp:inline>
        </w:drawing>
      </w:r>
      <w:r>
        <w:rPr>
          <w:rStyle w:val="hidden"/>
        </w:rPr>
        <w:t>REF PCDOCs 251233</w:t>
      </w:r>
    </w:p>
    <w:p>
      <w:pPr>
        <w:pStyle w:val="BLKmed1st11"/>
        <w:rPr/>
      </w:pPr>
      <w:r>
        <w:rPr>
          <w:rFonts w:cs="Arial Narrow" w:ascii="Arial Narrow" w:hAnsi="Arial Narrow"/>
          <w:sz w:val="18"/>
          <w:u w:val="none"/>
        </w:rPr>
        <w:t>Source: BP Amoco Statistical Review, 1999</w:t>
      </w:r>
    </w:p>
    <w:p>
      <w:pPr>
        <w:pStyle w:val="BLKmed1st11"/>
        <w:rPr>
          <w:u w:val="none"/>
        </w:rPr>
      </w:pPr>
      <w:r>
        <w:rPr>
          <w:u w:val="none"/>
        </w:rPr>
        <w:t>The primary historical reasons for the low percentage of natural gas used in Brazil are:</w:t>
      </w:r>
    </w:p>
    <w:p>
      <w:pPr>
        <w:pStyle w:val="Bmed1st0"/>
        <w:numPr>
          <w:ilvl w:val="0"/>
          <w:numId w:val="14"/>
        </w:numPr>
        <w:spacing w:lineRule="auto" w:line="300" w:before="0" w:after="110"/>
        <w:ind w:hanging="0" w:start="0"/>
        <w:rPr/>
      </w:pPr>
      <w:r>
        <w:rPr/>
        <w:t>The preference for the use of hydroelectric generation capacity, which has existed until recently in the countries of the Southern Region, as well as Chile, Paraguay, Peru and Uruguay;</w:t>
      </w:r>
    </w:p>
    <w:p>
      <w:pPr>
        <w:pStyle w:val="BodyText"/>
        <w:numPr>
          <w:ilvl w:val="0"/>
          <w:numId w:val="24"/>
        </w:numPr>
        <w:spacing w:lineRule="auto" w:line="300" w:before="0" w:after="110"/>
        <w:jc w:val="both"/>
        <w:rPr/>
      </w:pPr>
      <w:r>
        <w:rPr/>
        <w:t>Lack of an integrated pan-regional and Brazilian gas transmission network linking multiple basins to the key centers of demand;</w:t>
      </w:r>
    </w:p>
    <w:p>
      <w:pPr>
        <w:pStyle w:val="BodyText"/>
        <w:numPr>
          <w:ilvl w:val="0"/>
          <w:numId w:val="24"/>
        </w:numPr>
        <w:spacing w:lineRule="auto" w:line="300" w:before="0" w:after="110"/>
        <w:jc w:val="both"/>
        <w:rPr/>
      </w:pPr>
      <w:r>
        <w:rPr/>
        <w:t>Lack of creditworthy off-takers and standard gas contract commitments such as take-or-pay, liquidated damages and foreign exchange protection, all of which are essential in obtaining limited recourse finance;</w:t>
      </w:r>
    </w:p>
    <w:p>
      <w:pPr>
        <w:pStyle w:val="BodyText"/>
        <w:numPr>
          <w:ilvl w:val="0"/>
          <w:numId w:val="24"/>
        </w:numPr>
        <w:spacing w:lineRule="auto" w:line="300" w:before="0" w:after="110"/>
        <w:jc w:val="both"/>
        <w:rPr/>
      </w:pPr>
      <w:r>
        <w:rPr/>
        <w:t>Large usage of fuel oil by industry with minimal environmental awareness; and</w:t>
      </w:r>
    </w:p>
    <w:p>
      <w:pPr>
        <w:pStyle w:val="BodyText"/>
        <w:numPr>
          <w:ilvl w:val="0"/>
          <w:numId w:val="24"/>
        </w:numPr>
        <w:spacing w:lineRule="auto" w:line="300" w:before="0" w:after="110"/>
        <w:jc w:val="both"/>
        <w:rPr/>
      </w:pPr>
      <w:r>
        <w:rPr/>
        <w:t>Lack of residential heating load for natural gas due to the lack of distribution infrastructure.</w:t>
      </w:r>
    </w:p>
    <w:p>
      <w:pPr>
        <w:pStyle w:val="BLKmed1st11"/>
        <w:rPr>
          <w:u w:val="none"/>
        </w:rPr>
      </w:pPr>
      <w:r>
        <w:rPr>
          <w:u w:val="none"/>
        </w:rPr>
        <w:t xml:space="preserve">In the future, however, there is expected to be rapid natural gas demand growth from industrial, residential and commercial customers, as well as significant displacement of alternative fuels, such as fuel oil, with industrial customers.  The power generation sector, in particular, expected to be the primary driver of demand growth for natural gas in the region.  </w:t>
      </w:r>
    </w:p>
    <w:p>
      <w:pPr>
        <w:pStyle w:val="BLKmed1st11"/>
        <w:rPr>
          <w:u w:val="none"/>
        </w:rPr>
      </w:pPr>
      <w:r>
        <w:rPr>
          <w:u w:val="none"/>
        </w:rPr>
        <w:t>The Brazilian Government expects that approximately 15,000 MW of gas-fired power generation capacity will be built over the next five years in the South/Southeast region alone, all of it with Emergency Plant status.  An additional 2,224 MW has Emergency Plant status in the North/Northeast fired by either piped gas or liquified natural gas (“LNG”).  As this thermoelectric capacity is built and new customers are connected to the natural gas distribution systems in South, Southeast, Midwest and Northeast Brazil, including industrial consumers expected to convert to natural gas, demand for natural gas in Brazil is expected to increase significantly from current levels of 11 MMcm/d to approximately 70-75 MMcm/d in 2005.  This represents compound annual growth rates of between 35-45%.</w:t>
      </w:r>
    </w:p>
    <w:p>
      <w:pPr>
        <w:pStyle w:val="BLKmed1st11"/>
        <w:rPr>
          <w:u w:val="none"/>
        </w:rPr>
      </w:pPr>
      <w:r>
        <w:rPr>
          <w:u w:val="none"/>
        </w:rPr>
        <w:t>The following chart demonstrates the growth potential of the Brazilian natural gas market by sector:</w:t>
      </w:r>
    </w:p>
    <w:p>
      <w:pPr>
        <w:pStyle w:val="BLKmed1st1"/>
        <w:spacing w:before="0" w:after="0"/>
        <w:jc w:val="start"/>
        <w:rPr/>
      </w:pPr>
      <w:r>
        <w:rPr>
          <w:b/>
          <w:sz w:val="20"/>
        </w:rPr>
        <w:t>Sectors Fueling Growth in Demand for Natural Gas</w:t>
        <w:br/>
      </w:r>
      <w:r>
        <w:rPr>
          <w:sz w:val="16"/>
        </w:rPr>
        <w:t>(Consumption and Annual % Growth by Sector)</w:t>
        <w:br/>
      </w:r>
      <w:bookmarkStart w:id="0" w:name="_1015381110"/>
      <w:bookmarkStart w:id="1" w:name="_1015269492"/>
      <w:bookmarkStart w:id="2" w:name="_1015268220"/>
      <w:bookmarkStart w:id="3" w:name="_1015267964"/>
      <w:bookmarkStart w:id="4" w:name="_1015260218"/>
      <w:bookmarkStart w:id="5" w:name="_1015232445"/>
      <w:bookmarkStart w:id="6" w:name="_1015232318"/>
      <w:bookmarkStart w:id="7" w:name="_1015168443"/>
      <w:bookmarkStart w:id="8" w:name="_1015168403"/>
      <w:bookmarkStart w:id="9" w:name="_1015168392"/>
      <w:bookmarkStart w:id="10" w:name="_1015168354"/>
      <w:bookmarkStart w:id="11" w:name="_1015166795"/>
      <w:bookmarkStart w:id="12" w:name="_1015166701"/>
      <w:bookmarkStart w:id="13" w:name="_1015166659"/>
      <w:bookmarkStart w:id="14" w:name="_1015166369"/>
      <w:bookmarkStart w:id="15" w:name="_1015166290"/>
      <w:bookmarkStart w:id="16" w:name="_1015166286"/>
      <w:bookmarkStart w:id="17" w:name="_1015166114"/>
      <w:bookmarkStart w:id="18" w:name="_1015166066"/>
      <w:bookmarkStart w:id="19" w:name="_1015166046"/>
      <w:bookmarkStart w:id="20" w:name="_1015166039"/>
      <w:bookmarkStart w:id="21" w:name="_1015165986"/>
      <w:bookmarkStart w:id="22" w:name="_1015165978"/>
      <w:bookmarkStart w:id="23" w:name="_1015165541"/>
      <w:bookmarkStart w:id="24" w:name="_1015165536"/>
      <w:bookmarkStart w:id="25" w:name="_1015165505"/>
      <w:bookmarkStart w:id="26" w:name="_1015165499"/>
      <w:bookmarkStart w:id="27" w:name="_1015165369"/>
      <w:bookmarkStart w:id="28" w:name="_1015165288"/>
      <w:bookmarkStart w:id="29" w:name="_1015165267"/>
      <w:bookmarkStart w:id="30" w:name="_1015165259"/>
      <w:bookmarkStart w:id="31" w:name="_1015165162"/>
      <w:bookmarkStart w:id="32" w:name="_1015165128"/>
      <w:bookmarkStart w:id="33" w:name="_1015164541"/>
      <w:bookmarkStart w:id="34" w:name="_1015161339"/>
      <w:bookmarkStart w:id="35" w:name="_101516088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Pr>
          <w:sz w:val="16"/>
        </w:rPr>
        <w:object w:dxaOrig="7433" w:dyaOrig="3571">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359.35pt;height:173pt" filled="f" o:ole="">
            <v:imagedata r:id="rId9" o:title=""/>
          </v:shape>
          <o:OLEObject Type="Embed" ProgID="" ShapeID="ole_rId8" DrawAspect="Content" ObjectID="_1698058343" r:id="rId8"/>
        </w:object>
      </w:r>
    </w:p>
    <w:p>
      <w:pPr>
        <w:pStyle w:val="BLKmed1st1"/>
        <w:rPr>
          <w:sz w:val="16"/>
        </w:rPr>
      </w:pPr>
      <w:r>
        <w:rPr>
          <w:sz w:val="16"/>
        </w:rPr>
        <w:t>Source: Petrobras</w:t>
      </w:r>
    </w:p>
    <w:p>
      <w:pPr>
        <w:pStyle w:val="BLKmed1st11"/>
        <w:rPr>
          <w:b/>
          <w:u w:val="none"/>
        </w:rPr>
      </w:pPr>
      <w:r>
        <w:rPr>
          <w:u w:val="none"/>
        </w:rPr>
        <w:t>Enron and its Brazilian gas LDCs expect that demand growth from residential, commercial and transportation sectors will be substantially higher than that projected by Petrobras.</w:t>
      </w:r>
    </w:p>
    <w:p>
      <w:pPr>
        <w:pStyle w:val="BLKmed1st11"/>
        <w:keepNext w:val="true"/>
        <w:keepLines/>
        <w:rPr/>
      </w:pPr>
      <w:r>
        <w:rPr/>
        <w:t>As a result of the determination by Brazil and other countries in the South American region to reduce their dependence on hydroelectric power and fuel oil, the infrastructure required to deliver the gas to the key markets in Southeast and Northeast Brazil and, to a lesser extent, Chile and Peru, is now nearing completion.  Following the entry into service of BBPL and after the completion of other projects under development such as Cruz del Sur and/or TGM, natural gas delivery capacity to the major markets of Buenos Aires, South/Southeast Brazil and Santiago is expected to be as follows:</w:t>
      </w:r>
    </w:p>
    <w:tbl>
      <w:tblPr>
        <w:tblW w:w="7380" w:type="dxa"/>
        <w:jc w:val="start"/>
        <w:tblInd w:w="-792" w:type="dxa"/>
        <w:tblLayout w:type="fixed"/>
        <w:tblCellMar>
          <w:top w:w="0" w:type="dxa"/>
          <w:start w:w="108" w:type="dxa"/>
          <w:bottom w:w="0" w:type="dxa"/>
          <w:end w:w="108" w:type="dxa"/>
        </w:tblCellMar>
      </w:tblPr>
      <w:tblGrid>
        <w:gridCol w:w="1845"/>
        <w:gridCol w:w="1845"/>
        <w:gridCol w:w="1845"/>
        <w:gridCol w:w="1845"/>
      </w:tblGrid>
      <w:tr>
        <w:trPr/>
        <w:tc>
          <w:tcPr>
            <w:tcW w:w="1845" w:type="dxa"/>
            <w:tcBorders>
              <w:top w:val="single" w:sz="4" w:space="0" w:color="000000"/>
              <w:start w:val="single" w:sz="4" w:space="0" w:color="000000"/>
            </w:tcBorders>
            <w:shd w:fill="FFFF00" w:val="clear"/>
          </w:tcPr>
          <w:p>
            <w:pPr>
              <w:pStyle w:val="TableBody"/>
              <w:spacing w:before="60" w:after="60"/>
              <w:jc w:val="center"/>
              <w:rPr>
                <w:b/>
              </w:rPr>
            </w:pPr>
            <w:r>
              <w:rPr>
                <w:b/>
              </w:rPr>
              <w:t>Pipeline</w:t>
            </w:r>
          </w:p>
        </w:tc>
        <w:tc>
          <w:tcPr>
            <w:tcW w:w="1845" w:type="dxa"/>
            <w:tcBorders>
              <w:top w:val="single" w:sz="4" w:space="0" w:color="000000"/>
            </w:tcBorders>
            <w:shd w:fill="FFFF00" w:val="clear"/>
          </w:tcPr>
          <w:p>
            <w:pPr>
              <w:pStyle w:val="TableBody"/>
              <w:spacing w:before="60" w:after="60"/>
              <w:jc w:val="center"/>
              <w:rPr>
                <w:b/>
              </w:rPr>
            </w:pPr>
            <w:r>
              <w:rPr>
                <w:b/>
              </w:rPr>
              <w:t>From</w:t>
            </w:r>
          </w:p>
        </w:tc>
        <w:tc>
          <w:tcPr>
            <w:tcW w:w="1845" w:type="dxa"/>
            <w:tcBorders>
              <w:top w:val="single" w:sz="4" w:space="0" w:color="000000"/>
            </w:tcBorders>
            <w:shd w:fill="FFFF00" w:val="clear"/>
          </w:tcPr>
          <w:p>
            <w:pPr>
              <w:pStyle w:val="TableBody"/>
              <w:spacing w:before="60" w:after="60"/>
              <w:jc w:val="center"/>
              <w:rPr>
                <w:b/>
              </w:rPr>
            </w:pPr>
            <w:r>
              <w:rPr>
                <w:b/>
              </w:rPr>
              <w:t>To</w:t>
            </w:r>
          </w:p>
        </w:tc>
        <w:tc>
          <w:tcPr>
            <w:tcW w:w="1845" w:type="dxa"/>
            <w:tcBorders>
              <w:top w:val="single" w:sz="4" w:space="0" w:color="000000"/>
              <w:end w:val="single" w:sz="4" w:space="0" w:color="000000"/>
            </w:tcBorders>
            <w:shd w:fill="FFFF00" w:val="clear"/>
          </w:tcPr>
          <w:p>
            <w:pPr>
              <w:pStyle w:val="TableBody"/>
              <w:spacing w:before="60" w:after="60"/>
              <w:jc w:val="center"/>
              <w:rPr>
                <w:b/>
              </w:rPr>
            </w:pPr>
            <w:r>
              <w:rPr>
                <w:b/>
              </w:rPr>
              <w:t>Capacity (MMcm/d)</w:t>
            </w:r>
          </w:p>
        </w:tc>
      </w:tr>
      <w:tr>
        <w:trPr/>
        <w:tc>
          <w:tcPr>
            <w:tcW w:w="1845" w:type="dxa"/>
            <w:tcBorders>
              <w:top w:val="single" w:sz="4" w:space="0" w:color="000000"/>
              <w:start w:val="single" w:sz="4" w:space="0" w:color="000000"/>
              <w:bottom w:val="single" w:sz="4" w:space="0" w:color="000000"/>
            </w:tcBorders>
          </w:tcPr>
          <w:p>
            <w:pPr>
              <w:pStyle w:val="TableBody"/>
              <w:snapToGrid w:val="false"/>
              <w:rPr>
                <w:b/>
                <w:sz w:val="18"/>
              </w:rPr>
            </w:pPr>
            <w:r>
              <w:rPr>
                <w:b/>
                <w:sz w:val="18"/>
              </w:rPr>
            </w:r>
          </w:p>
          <w:p>
            <w:pPr>
              <w:pStyle w:val="TableBody"/>
              <w:rPr>
                <w:sz w:val="18"/>
              </w:rPr>
            </w:pPr>
            <w:r>
              <w:rPr>
                <w:sz w:val="18"/>
              </w:rPr>
              <w:t>TGS</w:t>
            </w:r>
            <w:r>
              <w:rPr>
                <w:sz w:val="18"/>
                <w:vertAlign w:val="superscript"/>
              </w:rPr>
              <w:t>(1)</w:t>
            </w:r>
          </w:p>
          <w:p>
            <w:pPr>
              <w:pStyle w:val="TableBody"/>
              <w:rPr>
                <w:sz w:val="18"/>
              </w:rPr>
            </w:pPr>
            <w:r>
              <w:rPr>
                <w:sz w:val="18"/>
              </w:rPr>
              <w:t>BBPL</w:t>
            </w:r>
            <w:r>
              <w:rPr>
                <w:sz w:val="18"/>
                <w:vertAlign w:val="superscript"/>
              </w:rPr>
              <w:t>(1)</w:t>
            </w:r>
          </w:p>
          <w:p>
            <w:pPr>
              <w:pStyle w:val="TableBody"/>
              <w:rPr>
                <w:sz w:val="18"/>
              </w:rPr>
            </w:pPr>
            <w:r>
              <w:rPr>
                <w:sz w:val="18"/>
              </w:rPr>
              <w:t>Transredes</w:t>
            </w:r>
            <w:r>
              <w:rPr>
                <w:sz w:val="18"/>
                <w:vertAlign w:val="superscript"/>
              </w:rPr>
              <w:t>(1)</w:t>
            </w:r>
          </w:p>
          <w:p>
            <w:pPr>
              <w:pStyle w:val="TableBody"/>
              <w:rPr>
                <w:b/>
                <w:sz w:val="18"/>
              </w:rPr>
            </w:pPr>
            <w:r>
              <w:rPr>
                <w:sz w:val="18"/>
              </w:rPr>
              <w:t>GasMat/GasBol</w:t>
            </w:r>
            <w:r>
              <w:rPr>
                <w:sz w:val="18"/>
                <w:vertAlign w:val="superscript"/>
              </w:rPr>
              <w:t>(1)</w:t>
            </w:r>
          </w:p>
        </w:tc>
        <w:tc>
          <w:tcPr>
            <w:tcW w:w="1845" w:type="dxa"/>
            <w:tcBorders>
              <w:top w:val="single" w:sz="4" w:space="0" w:color="000000"/>
              <w:bottom w:val="single" w:sz="4" w:space="0" w:color="000000"/>
            </w:tcBorders>
          </w:tcPr>
          <w:p>
            <w:pPr>
              <w:pStyle w:val="TableBody"/>
              <w:snapToGrid w:val="false"/>
              <w:rPr>
                <w:b/>
                <w:sz w:val="18"/>
              </w:rPr>
            </w:pPr>
            <w:r>
              <w:rPr>
                <w:b/>
                <w:sz w:val="18"/>
              </w:rPr>
            </w:r>
          </w:p>
          <w:p>
            <w:pPr>
              <w:pStyle w:val="TableBody"/>
              <w:rPr>
                <w:sz w:val="18"/>
              </w:rPr>
            </w:pPr>
            <w:r>
              <w:rPr>
                <w:sz w:val="18"/>
              </w:rPr>
              <w:t>S/W Argentina</w:t>
            </w:r>
          </w:p>
          <w:p>
            <w:pPr>
              <w:pStyle w:val="TableBody"/>
              <w:rPr>
                <w:sz w:val="18"/>
              </w:rPr>
            </w:pPr>
            <w:r>
              <w:rPr>
                <w:sz w:val="18"/>
              </w:rPr>
              <w:t>Bolivia</w:t>
            </w:r>
          </w:p>
          <w:p>
            <w:pPr>
              <w:pStyle w:val="TableBody"/>
              <w:rPr>
                <w:sz w:val="18"/>
              </w:rPr>
            </w:pPr>
            <w:r>
              <w:rPr>
                <w:sz w:val="18"/>
              </w:rPr>
              <w:t>Bolivia</w:t>
            </w:r>
          </w:p>
          <w:p>
            <w:pPr>
              <w:pStyle w:val="TableBody"/>
              <w:rPr>
                <w:b/>
                <w:sz w:val="18"/>
              </w:rPr>
            </w:pPr>
            <w:r>
              <w:rPr>
                <w:sz w:val="18"/>
              </w:rPr>
              <w:t>Bolivia</w:t>
            </w:r>
          </w:p>
        </w:tc>
        <w:tc>
          <w:tcPr>
            <w:tcW w:w="1845" w:type="dxa"/>
            <w:tcBorders>
              <w:top w:val="single" w:sz="4" w:space="0" w:color="000000"/>
              <w:bottom w:val="single" w:sz="4" w:space="0" w:color="000000"/>
            </w:tcBorders>
          </w:tcPr>
          <w:p>
            <w:pPr>
              <w:pStyle w:val="TableBody"/>
              <w:snapToGrid w:val="false"/>
              <w:rPr>
                <w:b/>
                <w:sz w:val="18"/>
              </w:rPr>
            </w:pPr>
            <w:r>
              <w:rPr>
                <w:b/>
                <w:sz w:val="18"/>
              </w:rPr>
            </w:r>
          </w:p>
          <w:p>
            <w:pPr>
              <w:pStyle w:val="TableBody"/>
              <w:rPr>
                <w:sz w:val="18"/>
              </w:rPr>
            </w:pPr>
            <w:r>
              <w:rPr>
                <w:sz w:val="18"/>
              </w:rPr>
              <w:t>Buenos Aires</w:t>
            </w:r>
          </w:p>
          <w:p>
            <w:pPr>
              <w:pStyle w:val="TableBody"/>
              <w:rPr>
                <w:sz w:val="18"/>
              </w:rPr>
            </w:pPr>
            <w:r>
              <w:rPr>
                <w:sz w:val="18"/>
              </w:rPr>
              <w:t>S/SE Brazil</w:t>
            </w:r>
          </w:p>
          <w:p>
            <w:pPr>
              <w:pStyle w:val="TableBody"/>
              <w:rPr>
                <w:sz w:val="18"/>
              </w:rPr>
            </w:pPr>
            <w:r>
              <w:rPr>
                <w:sz w:val="18"/>
              </w:rPr>
              <w:t>Argentina, Brazil</w:t>
            </w:r>
          </w:p>
          <w:p>
            <w:pPr>
              <w:pStyle w:val="TableBody"/>
              <w:rPr>
                <w:b/>
                <w:sz w:val="18"/>
              </w:rPr>
            </w:pPr>
            <w:r>
              <w:rPr>
                <w:sz w:val="18"/>
              </w:rPr>
              <w:t>Cuiabá, Brazil</w:t>
            </w:r>
          </w:p>
        </w:tc>
        <w:tc>
          <w:tcPr>
            <w:tcW w:w="1845" w:type="dxa"/>
            <w:tcBorders>
              <w:top w:val="single" w:sz="4" w:space="0" w:color="000000"/>
              <w:bottom w:val="single" w:sz="4" w:space="0" w:color="000000"/>
              <w:end w:val="single" w:sz="4" w:space="0" w:color="000000"/>
            </w:tcBorders>
          </w:tcPr>
          <w:p>
            <w:pPr>
              <w:pStyle w:val="TableBody"/>
              <w:snapToGrid w:val="false"/>
              <w:rPr>
                <w:b/>
                <w:sz w:val="18"/>
              </w:rPr>
            </w:pPr>
            <w:r>
              <w:rPr>
                <w:b/>
                <w:sz w:val="18"/>
              </w:rPr>
            </w:r>
          </w:p>
          <w:p>
            <w:pPr>
              <w:pStyle w:val="TableBody"/>
              <w:tabs>
                <w:tab w:val="clear" w:pos="360"/>
                <w:tab w:val="decimal" w:pos="837" w:leader="none"/>
              </w:tabs>
              <w:rPr>
                <w:sz w:val="18"/>
              </w:rPr>
            </w:pPr>
            <w:r>
              <w:rPr>
                <w:sz w:val="18"/>
              </w:rPr>
              <w:t>58</w:t>
            </w:r>
          </w:p>
          <w:p>
            <w:pPr>
              <w:pStyle w:val="TableBody"/>
              <w:tabs>
                <w:tab w:val="clear" w:pos="360"/>
                <w:tab w:val="decimal" w:pos="837" w:leader="none"/>
              </w:tabs>
              <w:rPr>
                <w:sz w:val="18"/>
              </w:rPr>
            </w:pPr>
            <w:r>
              <w:rPr>
                <w:sz w:val="18"/>
              </w:rPr>
              <w:t>30/60</w:t>
            </w:r>
          </w:p>
          <w:p>
            <w:pPr>
              <w:pStyle w:val="TableBody"/>
              <w:tabs>
                <w:tab w:val="clear" w:pos="360"/>
                <w:tab w:val="decimal" w:pos="837" w:leader="none"/>
              </w:tabs>
              <w:rPr>
                <w:sz w:val="18"/>
              </w:rPr>
            </w:pPr>
            <w:r>
              <w:rPr>
                <w:sz w:val="18"/>
              </w:rPr>
              <w:t>13</w:t>
            </w:r>
          </w:p>
          <w:p>
            <w:pPr>
              <w:pStyle w:val="TableBody"/>
              <w:tabs>
                <w:tab w:val="clear" w:pos="360"/>
                <w:tab w:val="decimal" w:pos="837" w:leader="none"/>
              </w:tabs>
              <w:rPr>
                <w:b/>
                <w:sz w:val="18"/>
              </w:rPr>
            </w:pPr>
            <w:r>
              <w:rPr>
                <w:sz w:val="18"/>
              </w:rPr>
              <w:t>7</w:t>
            </w:r>
          </w:p>
        </w:tc>
      </w:tr>
      <w:tr>
        <w:trPr/>
        <w:tc>
          <w:tcPr>
            <w:tcW w:w="1845" w:type="dxa"/>
            <w:tcBorders>
              <w:top w:val="single" w:sz="4" w:space="0" w:color="000000"/>
              <w:start w:val="single" w:sz="4" w:space="0" w:color="000000"/>
              <w:bottom w:val="single" w:sz="4" w:space="0" w:color="000000"/>
            </w:tcBorders>
          </w:tcPr>
          <w:p>
            <w:pPr>
              <w:pStyle w:val="TableBody"/>
              <w:spacing w:before="60" w:after="0"/>
              <w:rPr/>
            </w:pPr>
            <w:r>
              <w:rPr>
                <w:sz w:val="18"/>
              </w:rPr>
              <w:t>Sub-Total</w:t>
            </w:r>
            <w:r>
              <w:rPr>
                <w:sz w:val="18"/>
                <w:vertAlign w:val="superscript"/>
              </w:rPr>
              <w:t>(1)</w:t>
            </w:r>
          </w:p>
          <w:p>
            <w:pPr>
              <w:pStyle w:val="TableBody"/>
              <w:spacing w:before="120" w:after="0"/>
              <w:rPr>
                <w:sz w:val="18"/>
              </w:rPr>
            </w:pPr>
            <w:r>
              <w:rPr>
                <w:sz w:val="18"/>
              </w:rPr>
              <w:t>TGN</w:t>
            </w:r>
          </w:p>
          <w:p>
            <w:pPr>
              <w:pStyle w:val="TableBody"/>
              <w:rPr>
                <w:sz w:val="18"/>
              </w:rPr>
            </w:pPr>
            <w:r>
              <w:rPr>
                <w:sz w:val="18"/>
              </w:rPr>
              <w:t xml:space="preserve">TGM </w:t>
            </w:r>
            <w:r>
              <w:rPr>
                <w:sz w:val="18"/>
                <w:vertAlign w:val="superscript"/>
              </w:rPr>
              <w:t>(2)</w:t>
            </w:r>
          </w:p>
          <w:p>
            <w:pPr>
              <w:pStyle w:val="TableBody"/>
              <w:rPr>
                <w:sz w:val="18"/>
              </w:rPr>
            </w:pPr>
            <w:r>
              <w:rPr>
                <w:sz w:val="18"/>
              </w:rPr>
              <w:t xml:space="preserve">Cruz del Sur </w:t>
            </w:r>
            <w:r>
              <w:rPr>
                <w:sz w:val="18"/>
                <w:vertAlign w:val="superscript"/>
              </w:rPr>
              <w:t>(2)</w:t>
            </w:r>
          </w:p>
          <w:p>
            <w:pPr>
              <w:pStyle w:val="TableBody"/>
              <w:rPr>
                <w:sz w:val="18"/>
              </w:rPr>
            </w:pPr>
            <w:r>
              <w:rPr>
                <w:sz w:val="18"/>
              </w:rPr>
              <w:t>Gas Andes</w:t>
            </w:r>
          </w:p>
        </w:tc>
        <w:tc>
          <w:tcPr>
            <w:tcW w:w="1845" w:type="dxa"/>
            <w:tcBorders>
              <w:top w:val="single" w:sz="4" w:space="0" w:color="000000"/>
              <w:bottom w:val="single" w:sz="4" w:space="0" w:color="000000"/>
            </w:tcBorders>
          </w:tcPr>
          <w:p>
            <w:pPr>
              <w:pStyle w:val="TableBody"/>
              <w:snapToGrid w:val="false"/>
              <w:spacing w:before="60" w:after="0"/>
              <w:rPr>
                <w:sz w:val="18"/>
              </w:rPr>
            </w:pPr>
            <w:r>
              <w:rPr>
                <w:sz w:val="18"/>
              </w:rPr>
            </w:r>
          </w:p>
          <w:p>
            <w:pPr>
              <w:pStyle w:val="TableBody"/>
              <w:spacing w:before="120" w:after="0"/>
              <w:rPr>
                <w:sz w:val="18"/>
              </w:rPr>
            </w:pPr>
            <w:r>
              <w:rPr>
                <w:sz w:val="18"/>
              </w:rPr>
              <w:t>NW/W Argentina</w:t>
            </w:r>
          </w:p>
          <w:p>
            <w:pPr>
              <w:pStyle w:val="TableBody"/>
              <w:rPr>
                <w:sz w:val="18"/>
              </w:rPr>
            </w:pPr>
            <w:r>
              <w:rPr>
                <w:sz w:val="18"/>
              </w:rPr>
              <w:t>Argentina</w:t>
            </w:r>
          </w:p>
          <w:p>
            <w:pPr>
              <w:pStyle w:val="TableBody"/>
              <w:rPr>
                <w:sz w:val="18"/>
              </w:rPr>
            </w:pPr>
            <w:r>
              <w:rPr>
                <w:sz w:val="18"/>
              </w:rPr>
              <w:t>Argentina</w:t>
            </w:r>
          </w:p>
          <w:p>
            <w:pPr>
              <w:pStyle w:val="TableBody"/>
              <w:rPr>
                <w:sz w:val="18"/>
              </w:rPr>
            </w:pPr>
            <w:r>
              <w:rPr>
                <w:sz w:val="18"/>
              </w:rPr>
              <w:t>Argentina</w:t>
            </w:r>
          </w:p>
        </w:tc>
        <w:tc>
          <w:tcPr>
            <w:tcW w:w="1845" w:type="dxa"/>
            <w:tcBorders>
              <w:top w:val="single" w:sz="4" w:space="0" w:color="000000"/>
              <w:bottom w:val="single" w:sz="4" w:space="0" w:color="000000"/>
            </w:tcBorders>
          </w:tcPr>
          <w:p>
            <w:pPr>
              <w:pStyle w:val="TableBody"/>
              <w:snapToGrid w:val="false"/>
              <w:spacing w:before="60" w:after="0"/>
              <w:rPr>
                <w:sz w:val="18"/>
              </w:rPr>
            </w:pPr>
            <w:r>
              <w:rPr>
                <w:sz w:val="18"/>
              </w:rPr>
            </w:r>
          </w:p>
          <w:p>
            <w:pPr>
              <w:pStyle w:val="TableBody"/>
              <w:spacing w:before="120" w:after="0"/>
              <w:rPr>
                <w:sz w:val="18"/>
              </w:rPr>
            </w:pPr>
            <w:r>
              <w:rPr>
                <w:sz w:val="18"/>
              </w:rPr>
              <w:t>Bolivia/Buenos Aires</w:t>
            </w:r>
          </w:p>
          <w:p>
            <w:pPr>
              <w:pStyle w:val="TableBody"/>
              <w:rPr>
                <w:sz w:val="18"/>
              </w:rPr>
            </w:pPr>
            <w:r>
              <w:rPr>
                <w:sz w:val="18"/>
              </w:rPr>
              <w:t>Porto Alegre</w:t>
            </w:r>
          </w:p>
          <w:p>
            <w:pPr>
              <w:pStyle w:val="TableBody"/>
              <w:rPr>
                <w:sz w:val="18"/>
              </w:rPr>
            </w:pPr>
            <w:r>
              <w:rPr>
                <w:sz w:val="18"/>
              </w:rPr>
              <w:t>Uruguay, Porto Alegre</w:t>
            </w:r>
          </w:p>
          <w:p>
            <w:pPr>
              <w:pStyle w:val="TableBody"/>
              <w:rPr>
                <w:sz w:val="18"/>
              </w:rPr>
            </w:pPr>
            <w:r>
              <w:rPr>
                <w:sz w:val="18"/>
              </w:rPr>
              <w:t>Santiago, Chile</w:t>
            </w:r>
          </w:p>
        </w:tc>
        <w:tc>
          <w:tcPr>
            <w:tcW w:w="1845" w:type="dxa"/>
            <w:tcBorders>
              <w:top w:val="single" w:sz="4" w:space="0" w:color="000000"/>
              <w:bottom w:val="single" w:sz="4" w:space="0" w:color="000000"/>
              <w:end w:val="single" w:sz="4" w:space="0" w:color="000000"/>
            </w:tcBorders>
          </w:tcPr>
          <w:p>
            <w:pPr>
              <w:pStyle w:val="TableBody"/>
              <w:tabs>
                <w:tab w:val="clear" w:pos="360"/>
                <w:tab w:val="decimal" w:pos="837" w:leader="none"/>
              </w:tabs>
              <w:spacing w:before="60" w:after="0"/>
              <w:rPr>
                <w:sz w:val="18"/>
              </w:rPr>
            </w:pPr>
            <w:r>
              <w:rPr>
                <w:sz w:val="18"/>
              </w:rPr>
              <w:t>108/138</w:t>
            </w:r>
          </w:p>
          <w:p>
            <w:pPr>
              <w:pStyle w:val="TableBody"/>
              <w:tabs>
                <w:tab w:val="clear" w:pos="360"/>
                <w:tab w:val="decimal" w:pos="837" w:leader="none"/>
              </w:tabs>
              <w:spacing w:before="120" w:after="0"/>
              <w:rPr>
                <w:sz w:val="18"/>
              </w:rPr>
            </w:pPr>
            <w:r>
              <w:rPr>
                <w:sz w:val="18"/>
              </w:rPr>
              <w:t>43</w:t>
            </w:r>
          </w:p>
          <w:p>
            <w:pPr>
              <w:pStyle w:val="TableBody"/>
              <w:tabs>
                <w:tab w:val="clear" w:pos="360"/>
                <w:tab w:val="decimal" w:pos="837" w:leader="none"/>
              </w:tabs>
              <w:rPr>
                <w:sz w:val="18"/>
              </w:rPr>
            </w:pPr>
            <w:r>
              <w:rPr>
                <w:sz w:val="18"/>
              </w:rPr>
              <w:t>8</w:t>
            </w:r>
          </w:p>
          <w:p>
            <w:pPr>
              <w:pStyle w:val="TableBody"/>
              <w:tabs>
                <w:tab w:val="clear" w:pos="360"/>
                <w:tab w:val="decimal" w:pos="837" w:leader="none"/>
              </w:tabs>
              <w:rPr>
                <w:sz w:val="18"/>
              </w:rPr>
            </w:pPr>
            <w:r>
              <w:rPr>
                <w:sz w:val="18"/>
              </w:rPr>
              <w:t>8</w:t>
            </w:r>
          </w:p>
          <w:p>
            <w:pPr>
              <w:pStyle w:val="TableBody"/>
              <w:tabs>
                <w:tab w:val="clear" w:pos="360"/>
                <w:tab w:val="decimal" w:pos="837" w:leader="none"/>
              </w:tabs>
              <w:rPr>
                <w:sz w:val="18"/>
              </w:rPr>
            </w:pPr>
            <w:r>
              <w:rPr>
                <w:sz w:val="18"/>
              </w:rPr>
              <w:t>10</w:t>
            </w:r>
          </w:p>
        </w:tc>
      </w:tr>
      <w:tr>
        <w:trPr/>
        <w:tc>
          <w:tcPr>
            <w:tcW w:w="1845" w:type="dxa"/>
            <w:tcBorders>
              <w:top w:val="single" w:sz="4" w:space="0" w:color="000000"/>
              <w:start w:val="single" w:sz="4" w:space="0" w:color="000000"/>
              <w:bottom w:val="single" w:sz="4" w:space="0" w:color="000000"/>
            </w:tcBorders>
          </w:tcPr>
          <w:p>
            <w:pPr>
              <w:pStyle w:val="TableBody"/>
              <w:spacing w:before="60" w:after="0"/>
              <w:rPr>
                <w:b/>
                <w:sz w:val="18"/>
              </w:rPr>
            </w:pPr>
            <w:r>
              <w:rPr>
                <w:b/>
                <w:sz w:val="18"/>
              </w:rPr>
              <w:t>Total</w:t>
            </w:r>
          </w:p>
        </w:tc>
        <w:tc>
          <w:tcPr>
            <w:tcW w:w="1845" w:type="dxa"/>
            <w:tcBorders>
              <w:top w:val="single" w:sz="4" w:space="0" w:color="000000"/>
              <w:bottom w:val="single" w:sz="4" w:space="0" w:color="000000"/>
            </w:tcBorders>
          </w:tcPr>
          <w:p>
            <w:pPr>
              <w:pStyle w:val="TableBody"/>
              <w:snapToGrid w:val="false"/>
              <w:spacing w:before="60" w:after="0"/>
              <w:rPr>
                <w:b/>
                <w:sz w:val="18"/>
              </w:rPr>
            </w:pPr>
            <w:r>
              <w:rPr>
                <w:b/>
                <w:sz w:val="18"/>
              </w:rPr>
            </w:r>
          </w:p>
        </w:tc>
        <w:tc>
          <w:tcPr>
            <w:tcW w:w="1845" w:type="dxa"/>
            <w:tcBorders>
              <w:top w:val="single" w:sz="4" w:space="0" w:color="000000"/>
              <w:bottom w:val="single" w:sz="4" w:space="0" w:color="000000"/>
            </w:tcBorders>
          </w:tcPr>
          <w:p>
            <w:pPr>
              <w:pStyle w:val="TableBody"/>
              <w:snapToGrid w:val="false"/>
              <w:spacing w:before="60" w:after="0"/>
              <w:rPr>
                <w:b/>
                <w:sz w:val="18"/>
              </w:rPr>
            </w:pPr>
            <w:r>
              <w:rPr>
                <w:b/>
                <w:sz w:val="18"/>
              </w:rPr>
            </w:r>
          </w:p>
        </w:tc>
        <w:tc>
          <w:tcPr>
            <w:tcW w:w="1845" w:type="dxa"/>
            <w:tcBorders>
              <w:top w:val="single" w:sz="4" w:space="0" w:color="000000"/>
              <w:bottom w:val="single" w:sz="4" w:space="0" w:color="000000"/>
              <w:end w:val="single" w:sz="4" w:space="0" w:color="000000"/>
            </w:tcBorders>
          </w:tcPr>
          <w:p>
            <w:pPr>
              <w:pStyle w:val="TableBody"/>
              <w:spacing w:before="60" w:after="0"/>
              <w:jc w:val="center"/>
              <w:rPr>
                <w:b/>
                <w:sz w:val="18"/>
              </w:rPr>
            </w:pPr>
            <w:r>
              <w:rPr>
                <w:b/>
                <w:sz w:val="18"/>
              </w:rPr>
              <w:t>169/199</w:t>
            </w:r>
          </w:p>
        </w:tc>
      </w:tr>
      <w:tr>
        <w:trPr/>
        <w:tc>
          <w:tcPr>
            <w:tcW w:w="7380" w:type="dxa"/>
            <w:gridSpan w:val="4"/>
            <w:tcBorders/>
          </w:tcPr>
          <w:p>
            <w:pPr>
              <w:pStyle w:val="TableSpacer"/>
              <w:snapToGrid w:val="false"/>
              <w:rPr>
                <w:b/>
                <w:sz w:val="18"/>
              </w:rPr>
            </w:pPr>
            <w:r>
              <w:rPr>
                <w:b/>
                <w:sz w:val="18"/>
              </w:rPr>
            </w:r>
          </w:p>
        </w:tc>
      </w:tr>
      <w:tr>
        <w:trPr/>
        <w:tc>
          <w:tcPr>
            <w:tcW w:w="7380" w:type="dxa"/>
            <w:gridSpan w:val="4"/>
            <w:tcBorders/>
          </w:tcPr>
          <w:p>
            <w:pPr>
              <w:pStyle w:val="TableBody"/>
              <w:tabs>
                <w:tab w:val="clear" w:pos="360"/>
                <w:tab w:val="left" w:pos="432" w:leader="none"/>
                <w:tab w:val="left" w:pos="612" w:leader="none"/>
              </w:tabs>
              <w:rPr/>
            </w:pPr>
            <w:r>
              <w:rPr/>
              <w:t>Note:</w:t>
              <w:tab/>
              <w:t>(1)</w:t>
              <w:tab/>
              <w:tab/>
              <w:t>Enron pipelines</w:t>
            </w:r>
          </w:p>
          <w:p>
            <w:pPr>
              <w:pStyle w:val="TableBody"/>
              <w:tabs>
                <w:tab w:val="clear" w:pos="360"/>
                <w:tab w:val="left" w:pos="432" w:leader="none"/>
                <w:tab w:val="left" w:pos="612" w:leader="none"/>
              </w:tabs>
              <w:rPr/>
            </w:pPr>
            <w:r>
              <w:rPr/>
              <w:tab/>
              <w:t xml:space="preserve">(2) </w:t>
              <w:tab/>
              <w:t>Competing projects for Southern Brazil market</w:t>
            </w:r>
          </w:p>
        </w:tc>
      </w:tr>
    </w:tbl>
    <w:p>
      <w:pPr>
        <w:pStyle w:val="BLKmed1st11"/>
        <w:spacing w:before="240" w:after="220"/>
        <w:rPr>
          <w:u w:val="none"/>
        </w:rPr>
      </w:pPr>
      <w:r>
        <w:rPr>
          <w:u w:val="none"/>
        </w:rPr>
        <w:t>With the completion of these projects and the recent introduction of substantial market-opening legislation, relating in particular to the electricity sector, the energy markets of the South American region are expected to become among the most dynamic and fast-growing in the world.</w:t>
      </w:r>
    </w:p>
    <w:p>
      <w:pPr>
        <w:pStyle w:val="BLKmed1st11"/>
        <w:rPr>
          <w:u w:val="none"/>
        </w:rPr>
      </w:pPr>
      <w:r>
        <w:rPr>
          <w:u w:val="none"/>
        </w:rPr>
        <w:t>The following map shows the key gas producing basins and pipelines in operation or under construction in the South American region, demonstrating that a substantial amount of the infrastructure needed to connect supply and demand is now in place:</w:t>
      </w:r>
    </w:p>
    <w:p>
      <w:pPr>
        <w:pStyle w:val="BLKmed1st11"/>
        <w:spacing w:before="0" w:after="0"/>
        <w:jc w:val="center"/>
        <w:rPr/>
      </w:pPr>
      <w:r>
        <w:rPr/>
      </w:r>
    </w:p>
    <w:p>
      <w:pPr>
        <w:pStyle w:val="BLKmed1st11"/>
        <w:spacing w:before="0" w:after="0"/>
        <w:jc w:val="center"/>
        <w:rPr>
          <w:u w:val="none"/>
        </w:rPr>
      </w:pPr>
      <w:r>
        <w:rPr>
          <w:u w:val="none"/>
        </w:rPr>
        <w:drawing>
          <wp:inline distT="0" distB="0" distL="0" distR="0">
            <wp:extent cx="4110990" cy="3354070"/>
            <wp:effectExtent l="0" t="0" r="0" b="0"/>
            <wp:docPr id="6"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title=""/>
                    <pic:cNvPicPr>
                      <a:picLocks noChangeAspect="1" noChangeArrowheads="1"/>
                    </pic:cNvPicPr>
                  </pic:nvPicPr>
                  <pic:blipFill>
                    <a:blip r:embed="rId10"/>
                    <a:srcRect l="-6" t="-7" r="-6" b="-7"/>
                    <a:stretch>
                      <a:fillRect/>
                    </a:stretch>
                  </pic:blipFill>
                  <pic:spPr bwMode="auto">
                    <a:xfrm>
                      <a:off x="0" y="0"/>
                      <a:ext cx="4110990" cy="3354070"/>
                    </a:xfrm>
                    <a:prstGeom prst="rect">
                      <a:avLst/>
                    </a:prstGeom>
                    <a:noFill/>
                  </pic:spPr>
                </pic:pic>
              </a:graphicData>
            </a:graphic>
          </wp:inline>
        </w:drawing>
      </w:r>
    </w:p>
    <w:p>
      <w:pPr>
        <w:pStyle w:val="BLKmed1st11"/>
        <w:spacing w:before="0" w:after="0"/>
        <w:jc w:val="center"/>
        <w:rPr>
          <w:u w:val="none"/>
        </w:rPr>
      </w:pPr>
      <w:r>
        <w:rPr>
          <w:u w:val="none"/>
        </w:rPr>
      </w:r>
    </w:p>
    <w:p>
      <w:pPr>
        <w:pStyle w:val="BLKmed1st11"/>
        <w:spacing w:before="0" w:after="0"/>
        <w:jc w:val="center"/>
        <w:rPr/>
      </w:pPr>
      <w:r>
        <w:rPr>
          <w:rStyle w:val="hidden"/>
        </w:rPr>
        <w:t>Inserted from PCDOCs 251267 20/03/00</w:t>
      </w:r>
    </w:p>
    <w:p>
      <w:pPr>
        <w:pStyle w:val="BLKmed1st11"/>
        <w:rPr/>
      </w:pPr>
      <w:r>
        <w:rPr>
          <w:rFonts w:cs="Arial Narrow" w:ascii="Arial Narrow" w:hAnsi="Arial Narrow"/>
          <w:sz w:val="16"/>
          <w:u w:val="none"/>
        </w:rPr>
        <w:t>Note:</w:t>
        <w:tab/>
        <w:t xml:space="preserve">(1) </w:t>
        <w:tab/>
        <w:t>Competing projects for Southern Brazil market</w:t>
      </w:r>
    </w:p>
    <w:p>
      <w:pPr>
        <w:pStyle w:val="BLKmed1st11"/>
        <w:rPr>
          <w:u w:val="none"/>
        </w:rPr>
      </w:pPr>
      <w:r>
        <w:rPr>
          <w:u w:val="none"/>
        </w:rPr>
        <w:t>Additionally, smaller-scale infrastructure projects, including gas fired generation capacity and gas transmission and distribution infrastructure are also under construction, including Gasoducto del Pacífico, Gas Atacama/Nopel, Norandino/Tocopilla and natural gas distribution networks in Santiago, Concepción and Lima.  Within a few years, there should be seamless capacity to transport natural gas from the major producing basins in Argentina, Bolivia, Brazil and eventually Peru to the main load centers in Santiago, Lima, Buenos Aires and South/Southeast Brazil.  The North/Northeast region of Brazil could form part of either a major LNG market spanning from North/Northeast Brazil to Central America, the Caribbean and the Gulf Coast markets, or it could eventually be interconnected with the Southeast region of Brazil through a pipeline between Vitória and Salvador, or both.  The electric systems of South/Southeast/Mid-West Brazil and North/Northeast Brazil are already interconnected.</w:t>
      </w:r>
    </w:p>
    <w:p>
      <w:pPr>
        <w:pStyle w:val="Bmed1st0"/>
        <w:numPr>
          <w:ilvl w:val="0"/>
          <w:numId w:val="0"/>
        </w:numPr>
        <w:spacing w:lineRule="auto" w:line="300" w:before="0" w:after="240"/>
        <w:ind w:hanging="0" w:start="0"/>
        <w:rPr>
          <w:lang w:val="en-CA"/>
        </w:rPr>
      </w:pPr>
      <w:r>
        <w:rPr>
          <w:lang w:val="en-CA"/>
        </w:rPr>
        <w:t>In conclusion, the energy market in the Southern Region is characterized by:</w:t>
      </w:r>
    </w:p>
    <w:p>
      <w:pPr>
        <w:pStyle w:val="Bmed1st0"/>
        <w:numPr>
          <w:ilvl w:val="0"/>
          <w:numId w:val="14"/>
        </w:numPr>
        <w:spacing w:lineRule="auto" w:line="300" w:before="0" w:after="110"/>
        <w:ind w:hanging="0" w:start="0"/>
        <w:rPr/>
      </w:pPr>
      <w:r>
        <w:rPr/>
        <w:t>the existence of huge gas reserves in Bolivia, Argentina and Peru; and</w:t>
      </w:r>
    </w:p>
    <w:p>
      <w:pPr>
        <w:pStyle w:val="Bmed1st0"/>
        <w:numPr>
          <w:ilvl w:val="0"/>
          <w:numId w:val="14"/>
        </w:numPr>
        <w:spacing w:lineRule="auto" w:line="300" w:before="0" w:after="110"/>
        <w:ind w:hanging="0" w:start="0"/>
        <w:rPr/>
      </w:pPr>
      <w:r>
        <w:rPr/>
        <w:t>a gas shortage in Brazil caused by Brazil’s move into thermal power generation creating a large immediate demand for gas.</w:t>
      </w:r>
    </w:p>
    <w:p>
      <w:pPr>
        <w:pStyle w:val="Bmed1st0"/>
        <w:numPr>
          <w:ilvl w:val="0"/>
          <w:numId w:val="0"/>
        </w:numPr>
        <w:spacing w:lineRule="auto" w:line="300" w:before="0" w:after="240"/>
        <w:ind w:hanging="0" w:start="0"/>
        <w:rPr/>
      </w:pPr>
      <w:r>
        <w:rPr/>
        <w:t xml:space="preserve">Despite recent moves towards allowing E&amp;P investments by parties other than Petrobras a short position of gas in Brazil will continue to exist.  The development of local reserves will take about 5-10 years which means that for the short to medium-term Brazil will be a net-importer of large quantities of gas. </w:t>
      </w:r>
      <w:r>
        <w:rPr>
          <w:lang w:val="en-CA"/>
        </w:rPr>
        <w:t>The most economic option to increase imports will be the expansion of the already existing BBPL.</w:t>
      </w:r>
    </w:p>
    <w:p>
      <w:pPr>
        <w:pStyle w:val="Bmed1st0"/>
        <w:numPr>
          <w:ilvl w:val="0"/>
          <w:numId w:val="0"/>
        </w:numPr>
        <w:spacing w:lineRule="auto" w:line="300" w:before="0" w:after="240"/>
        <w:ind w:hanging="0" w:start="0"/>
        <w:rPr/>
      </w:pPr>
      <w:r>
        <w:rPr/>
        <w:t>As described above, the key requirements for the rapid development of the natural gas markets of the Southern Region (reserves, demand, infrastructure and access to capital) are now fully in place.  Significant benefits will accrue to those companies that are best able and positioned to exploit these opportunities.  In this respect, two factors are critical in order to maximise the value of the substantial gas reserves in the Southern Region (and, eventually, Peru):</w:t>
      </w:r>
      <w:r>
        <mc:AlternateContent>
          <mc:Choice Requires="wps">
            <w:drawing>
              <wp:anchor behindDoc="0" distT="0" distB="0" distL="114935" distR="114935" simplePos="0" locked="0" layoutInCell="0" allowOverlap="1" relativeHeight="12">
                <wp:simplePos x="0" y="0"/>
                <wp:positionH relativeFrom="page">
                  <wp:posOffset>702945</wp:posOffset>
                </wp:positionH>
                <wp:positionV relativeFrom="paragraph">
                  <wp:posOffset>-33020</wp:posOffset>
                </wp:positionV>
                <wp:extent cx="1888490" cy="228600"/>
                <wp:effectExtent l="0" t="0" r="0" b="0"/>
                <wp:wrapNone/>
                <wp:docPr id="7" name="Frame4"/>
                <a:graphic xmlns:a="http://schemas.openxmlformats.org/drawingml/2006/main">
                  <a:graphicData uri="http://schemas.microsoft.com/office/word/2010/wordprocessingShape">
                    <wps:wsp>
                      <wps:cNvSpPr txBox="1"/>
                      <wps:spPr>
                        <a:xfrm>
                          <a:off x="0" y="0"/>
                          <a:ext cx="1888490" cy="228600"/>
                        </a:xfrm>
                        <a:prstGeom prst="rect"/>
                        <a:solidFill>
                          <a:srgbClr val="FFFFFF"/>
                        </a:solidFill>
                      </wps:spPr>
                      <wps:txbx>
                        <w:txbxContent>
                          <w:p>
                            <w:pPr>
                              <w:pStyle w:val="zSideBar"/>
                              <w:rPr/>
                            </w:pPr>
                            <w:r>
                              <w:rPr/>
                              <w:t>Critical Success Factors</w:t>
                            </w:r>
                          </w:p>
                        </w:txbxContent>
                      </wps:txbx>
                      <wps:bodyPr anchor="t" lIns="635" tIns="46355" rIns="92075" bIns="46355">
                        <a:noAutofit/>
                      </wps:bodyPr>
                    </wps:wsp>
                  </a:graphicData>
                </a:graphic>
              </wp:anchor>
            </w:drawing>
          </mc:Choice>
          <mc:Fallback>
            <w:pict>
              <v:rect fillcolor="#FFFFFF" style="position:absolute;rotation:-0;width:148.7pt;height:18pt;mso-wrap-distance-left:9.05pt;mso-wrap-distance-right:9.05pt;mso-wrap-distance-top:0pt;mso-wrap-distance-bottom:0pt;margin-top:-2.6pt;mso-position-vertical-relative:text;margin-left:55.35pt;mso-position-horizontal-relative:page">
                <v:textbox inset="0.000694444444444445in,0.0506944444444444in,0.100694444444444in,0.0506944444444444in">
                  <w:txbxContent>
                    <w:p>
                      <w:pPr>
                        <w:pStyle w:val="zSideBar"/>
                        <w:rPr/>
                      </w:pPr>
                      <w:r>
                        <w:rPr/>
                        <w:t>Critical Success Factors</w:t>
                      </w:r>
                    </w:p>
                  </w:txbxContent>
                </v:textbox>
                <w10:wrap type="none"/>
              </v:rect>
            </w:pict>
          </mc:Fallback>
        </mc:AlternateContent>
      </w:r>
    </w:p>
    <w:p>
      <w:pPr>
        <w:pStyle w:val="Bmed1st0"/>
        <w:numPr>
          <w:ilvl w:val="0"/>
          <w:numId w:val="14"/>
        </w:numPr>
        <w:spacing w:lineRule="auto" w:line="300" w:before="0" w:after="110"/>
        <w:ind w:hanging="0" w:start="0"/>
        <w:rPr/>
      </w:pPr>
      <w:r>
        <w:rPr/>
        <w:t>Access to and control over the natural gas markets of the South/Southeast/Midwest and Northeast regions of Brazil; and</w:t>
      </w:r>
    </w:p>
    <w:p>
      <w:pPr>
        <w:pStyle w:val="Bmed1st0"/>
        <w:numPr>
          <w:ilvl w:val="0"/>
          <w:numId w:val="14"/>
        </w:numPr>
        <w:spacing w:lineRule="auto" w:line="300" w:before="0" w:after="240"/>
        <w:ind w:hanging="0" w:start="0"/>
        <w:rPr/>
      </w:pPr>
      <w:r>
        <w:rPr/>
        <w:t>Access to and influence over the allocation and expansion of gas transmission capacity.</w:t>
      </w:r>
    </w:p>
    <w:p>
      <w:pPr>
        <w:pStyle w:val="Bmed1st0"/>
        <w:numPr>
          <w:ilvl w:val="0"/>
          <w:numId w:val="0"/>
        </w:numPr>
        <w:spacing w:lineRule="auto" w:line="300" w:before="0" w:after="240"/>
        <w:ind w:hanging="0" w:start="0"/>
        <w:rPr/>
      </w:pPr>
      <w:r>
        <w:rPr/>
        <w:t>In other words, while the physical requirements of the future Southern Region gas markets are in place (reserves and pipelines), access to markets continues to be restricted by regulatory and ownership constraints (constrained pipelines and closed-access LDC service territories, for example).</w:t>
      </w:r>
    </w:p>
    <w:p>
      <w:pPr>
        <w:pStyle w:val="BLKmed1st11"/>
        <w:rPr>
          <w:u w:val="none"/>
        </w:rPr>
      </w:pPr>
      <w:r>
        <w:rPr>
          <w:u w:val="none"/>
        </w:rPr>
        <w:t xml:space="preserve">Access to gas transmission capacity, while notionally open in most markets, is far from open in reality.  For example, Petrobras has the right to all the initial capacity available on BBPL within Brazil.  A limited number of other pipeline projects are being developed, but generally as integrated gas-to-power and gas-to-end consumer projects, by sponsors with expertise in all aspects of the energy value chain. </w:t>
      </w:r>
    </w:p>
    <w:p>
      <w:pPr>
        <w:pStyle w:val="BLKmed1st11"/>
        <w:rPr>
          <w:u w:val="none"/>
        </w:rPr>
      </w:pPr>
      <w:r>
        <w:rPr>
          <w:u w:val="none"/>
        </w:rPr>
        <w:t xml:space="preserve">Access to markets, especially in Brazil, is also key to the development of power generation.  Currently, there is effectively no transparent wholesale market in Brazil for electricity and no market for medium- or long-term contracts for new or existing power generation capacity.  The dominance of hydroelectric capacity also poses major challenges for new thermal capacity which has to make long-term take-or-pay commitments on its fuel supplies in order to be competitive.  Without corresponding protection on the off-take side, these projects are extremely difficult to finance, and therefore most pure merchant IPPs are not viable projects. </w:t>
      </w:r>
    </w:p>
    <w:p>
      <w:pPr>
        <w:pStyle w:val="BLKmed1st11"/>
        <w:rPr>
          <w:u w:val="none"/>
        </w:rPr>
      </w:pPr>
      <w:r>
        <w:rPr>
          <w:u w:val="none"/>
        </w:rPr>
        <w:t>Moreover, current regulations in Brazil permit electric distribution companies to enter into power purchase agreements (“PPAs”) with related generation companies subject to a price cap set by ANEEL.  The current price cap (the “Normative Value”) for gas-fired thermal generation is approximately US$35/MWh. [Brett Wiggs, March 2000 value] Most electric distribution companies are now in the control of international electric companies with strong capabilities in the development of new power generation capacity and the desire to build significant integrated positions in the Brazilian electricity market.  These companies are generally unwilling to enter into long-term PPAs with independent developers. As a result, the ownership of electric distribution is widely accepted to be essential to prospective owner-developers of new power generation capacity (thermal and hydroelectric).</w:t>
      </w:r>
    </w:p>
    <w:p>
      <w:pPr>
        <w:pStyle w:val="BLKmed1st11"/>
        <w:rPr>
          <w:u w:val="none"/>
        </w:rPr>
      </w:pPr>
      <w:r>
        <w:rPr>
          <w:u w:val="none"/>
        </w:rPr>
        <w:t xml:space="preserve"> </w:t>
      </w:r>
      <w:r>
        <w:rPr>
          <w:u w:val="none"/>
        </w:rPr>
        <w:t>Access to flexible and competitive sources of gas as well as to interruptible industrial gas customers is also critical.  Gas supply price and flexibility provide complementary thermal capacity in a market with significant hydro-related volatility which is of critical importance to successful IPP development.  Given the closed-access nature of gas LCDs in Brazil, ownership and control of such companies is therefore also important in order to participate in the associated upstream and downstream opportunities.</w:t>
      </w:r>
    </w:p>
    <w:p>
      <w:pPr>
        <w:pStyle w:val="BLKmed1st11"/>
        <w:rPr>
          <w:u w:val="none"/>
        </w:rPr>
      </w:pPr>
      <w:r>
        <w:rPr>
          <w:u w:val="none"/>
        </w:rPr>
        <w:t>The combined ownership of its pipelines, Elektro and its gas LDCs provides Enron with precisely the platform necessary for fully taking advantage of the above mentioned opportunities.</w:t>
      </w:r>
    </w:p>
    <w:p>
      <w:pPr>
        <w:pStyle w:val="BLKmed1st11"/>
        <w:rPr>
          <w:u w:val="none"/>
        </w:rPr>
      </w:pPr>
      <w:r>
        <w:rPr>
          <w:u w:val="none"/>
        </w:rPr>
        <w:t>In the case of BBPL, Enron has a co</w:t>
        <w:noBreakHyphen/>
        <w:t xml:space="preserve">controlling interest in Transredes and, indirectly, in GTB, in addition to being the operator of GTB which together with the  Cuiabá Pipeline, comprise the only privately-controlled gas transmission access into Brazil.  In the case of CEG/CEG-Rio, Gaspart and Elektro, Enron has taken substantial demand positions that offer significant opportunities for power generation and gas supply upsides.  Enron’s position in the region ensures its ability to participate in critical commercial and regulatory decisions with respect to access to existing capacity, as well as in the future development, expansion and commercial strategy of BBPL and associated thermal power projects. </w:t>
      </w:r>
    </w:p>
    <w:p>
      <w:pPr>
        <w:pStyle w:val="Bmed1st0"/>
        <w:keepNext w:val="true"/>
        <w:keepLines/>
        <w:numPr>
          <w:ilvl w:val="0"/>
          <w:numId w:val="0"/>
        </w:numPr>
        <w:spacing w:lineRule="auto" w:line="300" w:before="0" w:after="240"/>
        <w:ind w:hanging="0" w:start="0"/>
        <w:rPr>
          <w:u w:val="single"/>
        </w:rPr>
      </w:pPr>
      <w:r>
        <w:rPr/>
        <w:t>The following considerations highlight the key advantages provided by the acquisition of SoCal:</w:t>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ragraph">
                  <wp:posOffset>3175</wp:posOffset>
                </wp:positionV>
                <wp:extent cx="1800860" cy="160655"/>
                <wp:effectExtent l="0" t="0" r="0" b="0"/>
                <wp:wrapSquare wrapText="bothSides"/>
                <wp:docPr id="8" name="Frame5"/>
                <a:graphic xmlns:a="http://schemas.openxmlformats.org/drawingml/2006/main">
                  <a:graphicData uri="http://schemas.microsoft.com/office/word/2010/wordprocessingShape">
                    <wps:wsp>
                      <wps:cNvSpPr txBox="1"/>
                      <wps:spPr>
                        <a:xfrm>
                          <a:off x="0" y="0"/>
                          <a:ext cx="1800860" cy="160655"/>
                        </a:xfrm>
                        <a:prstGeom prst="rect"/>
                        <a:solidFill>
                          <a:srgbClr val="FFFFFF">
                            <a:alpha val="0"/>
                          </a:srgbClr>
                        </a:solidFill>
                      </wps:spPr>
                      <wps:txbx>
                        <w:txbxContent>
                          <w:p>
                            <w:pPr>
                              <w:pStyle w:val="zSideBar"/>
                              <w:rPr/>
                            </w:pPr>
                            <w:r>
                              <w:rPr/>
                              <w:t>Key Investment Considerations</w:t>
                            </w:r>
                          </w:p>
                        </w:txbxContent>
                      </wps:txbx>
                      <wps:bodyPr anchor="t" lIns="0" tIns="0" rIns="0" bIns="0">
                        <a:noAutofit/>
                      </wps:bodyPr>
                    </wps:wsp>
                  </a:graphicData>
                </a:graphic>
              </wp:anchor>
            </w:drawing>
          </mc:Choice>
          <mc:Fallback>
            <w:pict>
              <v:rect fillcolor="#FFFFFF" style="position:absolute;rotation:-0;width:141.8pt;height:12.65pt;mso-wrap-distance-left:0pt;mso-wrap-distance-right:0pt;mso-wrap-distance-top:0pt;mso-wrap-distance-bottom:0pt;margin-top:0.25pt;mso-position-vertical-relative:text;margin-left:72.05pt;mso-position-horizontal-relative:page">
                <v:fill opacity="0f"/>
                <v:textbox inset="0in,0in,0in,0in">
                  <w:txbxContent>
                    <w:p>
                      <w:pPr>
                        <w:pStyle w:val="zSideBar"/>
                        <w:rPr/>
                      </w:pPr>
                      <w:r>
                        <w:rPr/>
                        <w:t>Key Investment Considerations</w:t>
                      </w:r>
                    </w:p>
                  </w:txbxContent>
                </v:textbox>
                <w10:wrap type="square"/>
              </v:rect>
            </w:pict>
          </mc:Fallback>
        </mc:AlternateContent>
      </w:r>
    </w:p>
    <w:p>
      <w:pPr>
        <w:pStyle w:val="Normal"/>
        <w:numPr>
          <w:ilvl w:val="0"/>
          <w:numId w:val="0"/>
        </w:numPr>
        <w:spacing w:lineRule="auto" w:line="300" w:before="0" w:after="110"/>
        <w:jc w:val="both"/>
        <w:outlineLvl w:val="0"/>
        <w:rPr>
          <w:b/>
          <w:u w:val="single"/>
        </w:rPr>
      </w:pPr>
      <w:r>
        <w:rPr>
          <w:u w:val="single"/>
        </w:rPr>
        <w:t>Fundamentals in Place</w:t>
      </w:r>
    </w:p>
    <w:p>
      <w:pPr>
        <w:pStyle w:val="Normal"/>
        <w:numPr>
          <w:ilvl w:val="0"/>
          <w:numId w:val="22"/>
        </w:numPr>
        <w:spacing w:lineRule="auto" w:line="300" w:before="0" w:after="110"/>
        <w:jc w:val="both"/>
        <w:rPr/>
      </w:pPr>
      <w:r>
        <w:rPr>
          <w:i/>
        </w:rPr>
        <w:t xml:space="preserve">Discovery of major new proven natural gas reserves </w:t>
      </w:r>
      <w:r>
        <w:rPr/>
        <w:t>– Substantial new reserves of natural gas have been discovered in Argentina, Bolivia, Brazil and Peru.  These reserves currently total over [2,400] Bncm, equivalent to over [30] years of reserve life based on projected consumption in these markets in [2005][?]</w:t>
      </w:r>
    </w:p>
    <w:p>
      <w:pPr>
        <w:pStyle w:val="Bmed2nd5"/>
        <w:numPr>
          <w:ilvl w:val="0"/>
          <w:numId w:val="19"/>
        </w:numPr>
        <w:spacing w:lineRule="auto" w:line="300"/>
        <w:rPr/>
      </w:pPr>
      <w:r>
        <w:rPr>
          <w:i/>
        </w:rPr>
        <w:t>Untapped and growing natural gas demand in Brazil</w:t>
      </w:r>
      <w:r>
        <w:rPr/>
        <w:t xml:space="preserve"> – Brazil is critically short of energy to support the expected growth in its economy and 95% dependent on volatile and unpredictable hydroelectricity for its requirements today.  Demand for natural gas in Brazil is set to grow rapidly from current levels of demand at 11 MMcm/d to at least 70 MMcm/d in 2005.</w:t>
      </w:r>
    </w:p>
    <w:p>
      <w:pPr>
        <w:pStyle w:val="Bmed2nd5"/>
        <w:numPr>
          <w:ilvl w:val="0"/>
          <w:numId w:val="19"/>
        </w:numPr>
        <w:spacing w:lineRule="auto" w:line="300"/>
        <w:rPr/>
      </w:pPr>
      <w:r>
        <w:rPr>
          <w:i/>
        </w:rPr>
        <w:t>Gas transportation infrastructure largely in place</w:t>
      </w:r>
      <w:r>
        <w:rPr/>
        <w:t xml:space="preserve"> – Following the completion of BBPL and on completion of either of the TGM or Cruz del Sur pipelines, the transportation capacity required to deliver natural gas to the major markets will be in place.</w:t>
      </w:r>
    </w:p>
    <w:p>
      <w:pPr>
        <w:pStyle w:val="Bmed2nd5"/>
        <w:numPr>
          <w:ilvl w:val="0"/>
          <w:numId w:val="19"/>
        </w:numPr>
        <w:spacing w:lineRule="auto" w:line="300" w:before="0" w:after="220"/>
        <w:ind w:hanging="357" w:start="357" w:end="0"/>
        <w:rPr/>
      </w:pPr>
      <w:r>
        <w:rPr>
          <w:i/>
        </w:rPr>
        <w:t>Increasing private sector involvement</w:t>
      </w:r>
      <w:r>
        <w:rPr/>
        <w:t xml:space="preserve"> – Following the widespread privatization of assets throughout the energy value chain, the region’s energy sector is now predominantly under private sector control.  This has dramatically improved the creditworthiness of the sector in the region and its ability to raise finance for new development projects.</w:t>
      </w:r>
    </w:p>
    <w:p>
      <w:pPr>
        <w:pStyle w:val="Normal"/>
        <w:numPr>
          <w:ilvl w:val="0"/>
          <w:numId w:val="0"/>
        </w:numPr>
        <w:spacing w:lineRule="auto" w:line="300" w:before="0" w:after="110"/>
        <w:jc w:val="both"/>
        <w:outlineLvl w:val="0"/>
        <w:rPr>
          <w:u w:val="single"/>
        </w:rPr>
      </w:pPr>
      <w:r>
        <w:rPr>
          <w:u w:val="single"/>
        </w:rPr>
      </w:r>
    </w:p>
    <w:p>
      <w:pPr>
        <w:pStyle w:val="Normal"/>
        <w:numPr>
          <w:ilvl w:val="0"/>
          <w:numId w:val="0"/>
        </w:numPr>
        <w:spacing w:lineRule="auto" w:line="300" w:before="0" w:after="110"/>
        <w:jc w:val="both"/>
        <w:outlineLvl w:val="0"/>
        <w:rPr>
          <w:u w:val="single"/>
        </w:rPr>
      </w:pPr>
      <w:r>
        <w:rPr>
          <w:u w:val="single"/>
        </w:rPr>
      </w:r>
    </w:p>
    <w:p>
      <w:pPr>
        <w:pStyle w:val="Normal"/>
        <w:numPr>
          <w:ilvl w:val="0"/>
          <w:numId w:val="0"/>
        </w:numPr>
        <w:spacing w:lineRule="auto" w:line="300" w:before="0" w:after="110"/>
        <w:jc w:val="both"/>
        <w:outlineLvl w:val="0"/>
        <w:rPr>
          <w:u w:val="single"/>
        </w:rPr>
      </w:pPr>
      <w:r>
        <w:rPr>
          <w:u w:val="single"/>
        </w:rPr>
        <w:t>Integrated, Market Driven Nature of Enron Asset Portfolio</w:t>
      </w:r>
    </w:p>
    <w:p>
      <w:pPr>
        <w:pStyle w:val="Normal"/>
        <w:numPr>
          <w:ilvl w:val="0"/>
          <w:numId w:val="22"/>
        </w:numPr>
        <w:spacing w:lineRule="auto" w:line="300" w:before="0" w:after="110"/>
        <w:jc w:val="both"/>
        <w:rPr/>
      </w:pPr>
      <w:r>
        <w:rPr>
          <w:i/>
        </w:rPr>
        <w:t>Vertical and horizontal integration around key assets required to ensure efficient gas monetization strategies</w:t>
      </w:r>
      <w:r>
        <w:rPr/>
        <w:t xml:space="preserve"> - The monetization of natural gas reserves in the Southern Region depends crucially on the development of and access to the key markets in South and Southeast Brazil.  Access to and control of gas transmission from the major gas reserve basins in Bolivia and Argentina, combined with control of Brazilian demand loads (i.e. gas and electric customers) is essential.</w:t>
      </w:r>
    </w:p>
    <w:p>
      <w:pPr>
        <w:pStyle w:val="Normal"/>
        <w:numPr>
          <w:ilvl w:val="0"/>
          <w:numId w:val="22"/>
        </w:numPr>
        <w:spacing w:lineRule="auto" w:line="300" w:before="0" w:after="110"/>
        <w:jc w:val="both"/>
        <w:rPr/>
      </w:pPr>
      <w:r>
        <w:rPr>
          <w:i/>
        </w:rPr>
        <w:t xml:space="preserve">Enron has established a unique and leading position in the Southern Region </w:t>
      </w:r>
      <w:r>
        <w:rPr/>
        <w:t>– SoCal is uniquely positioned to provide significant competitive advantages for the development of an integrated gas and power strategy in the Southern Region.  Its assets transport, distribute and consume more than 65% of the gas molecules consumed in the Southern Region.  Its pipelines connect all the major gas producing basins to all the major demand centers in the region, and its end consumers are generally located in the highest wealth and energy consumption per capita areas. [CONFIRM]</w:t>
      </w:r>
    </w:p>
    <w:p>
      <w:pPr>
        <w:pStyle w:val="Heading6"/>
        <w:ind w:hanging="0" w:start="0"/>
        <w:rPr>
          <w:b w:val="false"/>
        </w:rPr>
      </w:pPr>
      <w:r>
        <w:rPr>
          <w:b w:val="false"/>
        </w:rPr>
        <w:t>Control of Natural Gas Demand</w:t>
      </w:r>
    </w:p>
    <w:p>
      <w:pPr>
        <w:pStyle w:val="Normal"/>
        <w:keepNext w:val="true"/>
        <w:keepLines/>
        <w:numPr>
          <w:ilvl w:val="0"/>
          <w:numId w:val="22"/>
        </w:numPr>
        <w:spacing w:lineRule="auto" w:line="300" w:before="0" w:after="110"/>
        <w:jc w:val="both"/>
        <w:rPr/>
      </w:pPr>
      <w:r>
        <w:rPr>
          <w:i/>
        </w:rPr>
        <w:t xml:space="preserve">Access to enormous pool of potential demand for natural gas </w:t>
      </w:r>
      <w:r>
        <w:rPr/>
        <w:t>– Enron’s portfolio of market-focused businesses in Brazil represents an enormous pool of potential demand for natural gas, that is projected to amount to 65-70 MMcm/d in 2004, and includes interests in:</w:t>
      </w:r>
    </w:p>
    <w:p>
      <w:pPr>
        <w:pStyle w:val="Bmed2nd0"/>
        <w:numPr>
          <w:ilvl w:val="0"/>
          <w:numId w:val="17"/>
        </w:numPr>
        <w:spacing w:lineRule="auto" w:line="300" w:before="0" w:after="110"/>
        <w:rPr/>
      </w:pPr>
      <w:r>
        <w:rPr/>
        <w:t xml:space="preserve">CEG/CEG-Rio: Exclusive and effectively closed-access natural gas LDCs with current demand of 4.2 MMcm/d that is projected to grow to [10.4] MMcm/d in 2004; </w:t>
      </w:r>
    </w:p>
    <w:p>
      <w:pPr>
        <w:pStyle w:val="Bmed2nd0"/>
        <w:numPr>
          <w:ilvl w:val="0"/>
          <w:numId w:val="17"/>
        </w:numPr>
        <w:spacing w:lineRule="auto" w:line="300" w:before="0" w:after="110"/>
        <w:rPr/>
      </w:pPr>
      <w:r>
        <w:rPr/>
        <w:t>Gaspart: Exclusive and closed-access natural gas LDCs at early stage of development and located in high growth regions of the country.  Current demand of 4.0 MMcm/d that is projected to grow to [19.6] MMcm/d in 2004;</w:t>
      </w:r>
    </w:p>
    <w:p>
      <w:pPr>
        <w:pStyle w:val="Bmed2nd0"/>
        <w:numPr>
          <w:ilvl w:val="0"/>
          <w:numId w:val="17"/>
        </w:numPr>
        <w:spacing w:lineRule="auto" w:line="300" w:before="0" w:after="110"/>
        <w:rPr/>
      </w:pPr>
      <w:r>
        <w:rPr/>
        <w:t>Elektro: Current regulations in Brazil permit electric distribution companies to enter into long-term contracts with related companies in respect of up to 30% of their regulated demand.  On the basis of its projected maximum demand of [     ]MW in the short and medium term, Elektro will be able to enter into long-term contracts for approximately 960 MW of generation capacity.  Elektro is expected to significantly expand this to 1,920 MW through the establishment of commercial interrelationships with other Brazilian distribution companies.</w:t>
      </w:r>
    </w:p>
    <w:p>
      <w:pPr>
        <w:pStyle w:val="Bmed2nd0"/>
        <w:numPr>
          <w:ilvl w:val="0"/>
          <w:numId w:val="17"/>
        </w:numPr>
        <w:spacing w:lineRule="auto" w:line="300" w:before="0" w:after="110"/>
        <w:rPr/>
      </w:pPr>
      <w:r>
        <w:rPr/>
        <w:t>Cuiabá Project: 1,440 MW (3x480 MW) of gas-fired generation that will consume over 6.6 MMcm/d of natural gas when complete.  The first 480 MW, with a demand of 2.2 MMcm/d, are already contracted with Eletrobras.  The additional capacity, of which 480 MW has Emergency Plant status, will be contracted to Elektro and third parties;</w:t>
      </w:r>
    </w:p>
    <w:p>
      <w:pPr>
        <w:pStyle w:val="Bmed2nd0"/>
        <w:numPr>
          <w:ilvl w:val="0"/>
          <w:numId w:val="17"/>
        </w:numPr>
        <w:spacing w:lineRule="auto" w:line="300" w:before="0" w:after="110"/>
        <w:rPr/>
      </w:pPr>
      <w:r>
        <w:rPr/>
        <w:t>Riogen Power Plant: gas-fired generation project with a total capacity of 960 MW projected to enter service before 2004 and of which 480 MW has Emergency Plant status.  This would represent a further 4.4 MMcm/d of gas consumption; and</w:t>
      </w:r>
    </w:p>
    <w:p>
      <w:pPr>
        <w:pStyle w:val="Bmed2nd0"/>
        <w:numPr>
          <w:ilvl w:val="0"/>
          <w:numId w:val="17"/>
        </w:numPr>
        <w:spacing w:lineRule="auto" w:line="300" w:before="0" w:after="110"/>
        <w:rPr/>
      </w:pPr>
      <w:r>
        <w:rPr/>
        <w:t>Puerto Suarez: gas-fired generation project with a total installed capacity of 150 MW projected to enter service in 2002.  This plant is estimated to consume up to 1 MMcm/d of natural gas.</w:t>
      </w:r>
    </w:p>
    <w:p>
      <w:pPr>
        <w:pStyle w:val="Normal"/>
        <w:spacing w:lineRule="auto" w:line="300" w:before="0" w:after="110"/>
        <w:rPr>
          <w:u w:val="single"/>
        </w:rPr>
      </w:pPr>
      <w:r>
        <w:rPr>
          <w:u w:val="single"/>
        </w:rPr>
        <w:t>Access to and Significant Influence over Allocation of Gas Pipeline Capacity</w:t>
      </w:r>
    </w:p>
    <w:p>
      <w:pPr>
        <w:pStyle w:val="Bmed1st0"/>
        <w:numPr>
          <w:ilvl w:val="0"/>
          <w:numId w:val="14"/>
        </w:numPr>
        <w:spacing w:lineRule="auto" w:line="300" w:before="0" w:after="110"/>
        <w:ind w:hanging="0" w:start="0"/>
        <w:rPr/>
      </w:pPr>
      <w:r>
        <w:rPr>
          <w:i/>
        </w:rPr>
        <w:t xml:space="preserve">Ownership of 65% of Southern Region Gas Pipeline Capacity - </w:t>
      </w:r>
      <w:r>
        <w:rPr/>
        <w:t>Ownership of its Southern Region transmission and distribution assets provides Enron significant influence over and valuable insight into one of the most heavily constrained energy markets in the world.  In particular, Enron’s interests in Transredes, BBPL and the Cuiabá Pipeline will provide unique access to the significant demand potential of the Brazilian market for the substantial proven gas reserves in Argentina, Bolivia, Brazil and Peru:</w:t>
      </w:r>
    </w:p>
    <w:p>
      <w:pPr>
        <w:pStyle w:val="Bmed2nd0"/>
        <w:numPr>
          <w:ilvl w:val="0"/>
          <w:numId w:val="17"/>
        </w:numPr>
        <w:spacing w:lineRule="auto" w:line="300" w:before="0" w:after="110"/>
        <w:rPr/>
      </w:pPr>
      <w:r>
        <w:rPr/>
        <w:t>Transredes has 12 MMcm/d of capacity and is the only conduit for Northwestern Argentina and Bolivian Gas to access BBPL;</w:t>
      </w:r>
    </w:p>
    <w:p>
      <w:pPr>
        <w:pStyle w:val="Bmed2nd0"/>
        <w:numPr>
          <w:ilvl w:val="0"/>
          <w:numId w:val="17"/>
        </w:numPr>
        <w:spacing w:lineRule="auto" w:line="300" w:before="0" w:after="110"/>
        <w:rPr/>
      </w:pPr>
      <w:r>
        <w:rPr/>
        <w:t xml:space="preserve">BBPL has 30 MMcm/d of capacity and is the largest means of access to the Brazilian market. The expansion of its capacity  to 60 MMcm/d represents the most economic means to supply Brazil’s long-term natural gas requirements; </w:t>
      </w:r>
    </w:p>
    <w:p>
      <w:pPr>
        <w:pStyle w:val="Bmed2nd0"/>
        <w:numPr>
          <w:ilvl w:val="0"/>
          <w:numId w:val="17"/>
        </w:numPr>
        <w:spacing w:lineRule="auto" w:line="300" w:before="0" w:after="110"/>
        <w:rPr/>
      </w:pPr>
      <w:r>
        <w:rPr/>
        <w:t>The Cuiabá Pipeline has 7 MMcm/d of capacity and will be the first privately controlled pipeline supplying Brazil; and</w:t>
      </w:r>
    </w:p>
    <w:p>
      <w:pPr>
        <w:pStyle w:val="Bmed2nd0"/>
        <w:numPr>
          <w:ilvl w:val="0"/>
          <w:numId w:val="17"/>
        </w:numPr>
        <w:spacing w:lineRule="auto" w:line="300" w:before="0" w:after="110"/>
        <w:rPr/>
      </w:pPr>
      <w:r>
        <w:rPr/>
        <w:t>TGS has 58 MMcm/d of capacity and interconnects gas reserves in Western and Southern Argentina with the Buenos Aires market.  TGS also has the potential to supply Southern Brazil in the near future.</w:t>
      </w:r>
    </w:p>
    <w:p>
      <w:pPr>
        <w:pStyle w:val="Normal"/>
        <w:numPr>
          <w:ilvl w:val="0"/>
          <w:numId w:val="22"/>
        </w:numPr>
        <w:spacing w:lineRule="auto" w:line="300" w:before="0" w:after="110"/>
        <w:jc w:val="both"/>
        <w:rPr/>
      </w:pPr>
      <w:r>
        <w:rPr>
          <w:i/>
        </w:rPr>
        <w:t xml:space="preserve">Regional control of physical and regulatory constraints and bottlenecks </w:t>
      </w:r>
      <w:r>
        <w:rPr/>
        <w:t>– Substantial physical and regulatory constraints and bottlenecks exist in the Southern Region as a result of:</w:t>
      </w:r>
    </w:p>
    <w:p>
      <w:pPr>
        <w:pStyle w:val="Bmed2nd0"/>
        <w:numPr>
          <w:ilvl w:val="0"/>
          <w:numId w:val="17"/>
        </w:numPr>
        <w:spacing w:lineRule="auto" w:line="300" w:before="0" w:after="110"/>
        <w:rPr/>
      </w:pPr>
      <w:r>
        <w:rPr/>
        <w:t>The lack of development and physical capacity in the pipeline infrastructure required to meet the market’s long term requirements. This results in physical regulatory and financial constraints which give incumbent pipeline owners a major competitive advantage in the race to supply the markets’ future incremental demand;</w:t>
      </w:r>
    </w:p>
    <w:p>
      <w:pPr>
        <w:pStyle w:val="Bmed2nd0"/>
        <w:numPr>
          <w:ilvl w:val="0"/>
          <w:numId w:val="17"/>
        </w:numPr>
        <w:spacing w:lineRule="auto" w:line="300" w:before="0" w:after="110"/>
        <w:rPr/>
      </w:pPr>
      <w:r>
        <w:rPr/>
        <w:t>The substantial environmental, financial and other challenges that have to be overcome by greenfield pipeline projects;</w:t>
      </w:r>
    </w:p>
    <w:p>
      <w:pPr>
        <w:pStyle w:val="Bmed2nd0"/>
        <w:numPr>
          <w:ilvl w:val="0"/>
          <w:numId w:val="17"/>
        </w:numPr>
        <w:spacing w:lineRule="auto" w:line="300" w:before="0" w:after="110"/>
        <w:rPr/>
      </w:pPr>
      <w:r>
        <w:rPr/>
        <w:t>The closed-access nature of the exclusive concession contracts enjoyed by natural gas LDCs in Brazil; and</w:t>
      </w:r>
    </w:p>
    <w:p>
      <w:pPr>
        <w:pStyle w:val="Bmed2nd0"/>
        <w:numPr>
          <w:ilvl w:val="0"/>
          <w:numId w:val="17"/>
        </w:numPr>
        <w:spacing w:lineRule="auto" w:line="300" w:before="0" w:after="110"/>
        <w:rPr/>
      </w:pPr>
      <w:r>
        <w:rPr/>
        <w:t>The limited access that IPP developers have to long-term PPAs with electric distribution companies as a result of regulations that allow electric distribution companies to contract with related generation companies for up to 30% of their requirements.</w:t>
      </w:r>
    </w:p>
    <w:p>
      <w:pPr>
        <w:pStyle w:val="Normal"/>
        <w:spacing w:lineRule="auto" w:line="300" w:before="0" w:after="220"/>
        <w:jc w:val="both"/>
        <w:rPr/>
      </w:pPr>
      <w:r>
        <w:rPr/>
        <w:t>As a consequence of the above factors, equity ownership in and influence over investment decisions relating to existing pipeline capacity is important.  For example, Enron’s operating control of the Bolivian side of BBPL gives it the ability to participate in the future development, expansion and commercial strategy of the Brazilian side of BBPL and, by extension, participate more effectively in power plant development in Brazil.</w:t>
      </w:r>
    </w:p>
    <w:p>
      <w:pPr>
        <w:pStyle w:val="Normal"/>
        <w:numPr>
          <w:ilvl w:val="0"/>
          <w:numId w:val="0"/>
        </w:numPr>
        <w:spacing w:lineRule="auto" w:line="300" w:before="0" w:after="110"/>
        <w:jc w:val="both"/>
        <w:outlineLvl w:val="0"/>
        <w:rPr>
          <w:u w:val="single"/>
        </w:rPr>
      </w:pPr>
      <w:r>
        <w:rPr>
          <w:u w:val="single"/>
        </w:rPr>
        <w:t>Flexibility and Optionality</w:t>
      </w:r>
    </w:p>
    <w:p>
      <w:pPr>
        <w:pStyle w:val="Normal"/>
        <w:numPr>
          <w:ilvl w:val="0"/>
          <w:numId w:val="22"/>
        </w:numPr>
        <w:spacing w:lineRule="auto" w:line="300" w:before="0" w:after="110"/>
        <w:jc w:val="both"/>
        <w:rPr/>
      </w:pPr>
      <w:r>
        <w:rPr>
          <w:i/>
        </w:rPr>
        <w:t xml:space="preserve">Cross-country political and regulatory flexibility </w:t>
      </w:r>
      <w:r>
        <w:rPr/>
        <w:t>– SoCal’s presence in the Southern Region and its access to and understanding of their respective regulatory and political environments provide it with unique opportunities to deal with constantly changing regulatory environments from a structuring and relative pricing perspective.  This position and the flexibility it affords adds significant value to SoCal’s development of a vertically integrated portfolio.</w:t>
      </w:r>
    </w:p>
    <w:p>
      <w:pPr>
        <w:pStyle w:val="Normal"/>
        <w:numPr>
          <w:ilvl w:val="0"/>
          <w:numId w:val="22"/>
        </w:numPr>
        <w:spacing w:lineRule="auto" w:line="300" w:before="0" w:after="110"/>
        <w:jc w:val="both"/>
        <w:rPr/>
      </w:pPr>
      <w:r>
        <w:rPr>
          <w:i/>
        </w:rPr>
        <w:t xml:space="preserve">Cross-commodity flexibility </w:t>
      </w:r>
      <w:r>
        <w:rPr/>
        <w:t>– SoCal’s portfolio of integrated energy assets (gas, liquids and electric) in the Southern Region provides unique opportunities to create additional value across the natural gas value chain as the Brazilian gas and electric markets rapidly open and expand.</w:t>
      </w:r>
    </w:p>
    <w:p>
      <w:pPr>
        <w:pStyle w:val="BLKmed1st11"/>
        <w:ind w:start="360" w:end="0"/>
        <w:rPr>
          <w:u w:val="none"/>
        </w:rPr>
      </w:pPr>
      <w:r>
        <w:rPr>
          <w:u w:val="none"/>
        </w:rPr>
        <w:t>Moreover, the electricity and liquids markets are expected to eventually be truly open-access markets, as opposed to gas which is closed-access under current Brazilian regulations, provides a unique competitive advantage for the supply of an energy package offering gas, liquids and electricity.  This is particularly important in light of the complementary nature of the operational regimes of thermal generation capacity and interruptible industrial gas markets.  Competitors who do not have access to captive natural gas demand will clearly not be able to offer such a combination of energy products and thus will be significantly disadvantaged.</w:t>
      </w:r>
    </w:p>
    <w:p>
      <w:pPr>
        <w:pStyle w:val="BLKmed1st11"/>
        <w:spacing w:before="0" w:after="110"/>
        <w:ind w:start="360" w:end="0"/>
        <w:rPr>
          <w:u w:val="none"/>
        </w:rPr>
      </w:pPr>
      <w:r>
        <w:rPr>
          <w:u w:val="none"/>
        </w:rPr>
        <w:t>In particular, the frequent availability of low priced secondary hydro-electricity is only exploitable if a gas-fired plant has a low level of take-or-pay gas purchase obligations. In turn, this is only achievable if the supplier of gas to the power plant can interrupt other gas customers at times when the power plant is running at high load factors.</w:t>
      </w:r>
    </w:p>
    <w:p>
      <w:pPr>
        <w:pStyle w:val="BLKmed1st11"/>
        <w:ind w:start="360" w:end="0"/>
        <w:rPr/>
      </w:pPr>
      <w:r>
        <w:rPr>
          <w:u w:val="none"/>
        </w:rPr>
        <w:t>CEG/Riogas and the Gaspart LDCs provide critical access to multiple sources of and outlets for natural gas, thereby maximizing the flexibility and optionality of its commercial opportunities.  For example, SoCal’s gas LDCs have direct access to low cost and flexible (</w:t>
      </w:r>
      <w:r>
        <w:rPr>
          <w:i/>
          <w:u w:val="none"/>
        </w:rPr>
        <w:t>i.e.,</w:t>
      </w:r>
      <w:r>
        <w:rPr>
          <w:u w:val="none"/>
        </w:rPr>
        <w:t xml:space="preserve"> with lower take-or-pay commitments) Brazilian gas from the Campos, Santos and Northeast Brazilian Basins and have significant interruptible sales to industrial customers.  In a competitive market for power generation, these LDCs will be able to offer flexibility in their fuel supply arrangements for new generation facilities, and to blend imported and Brazilian gas costs.</w:t>
      </w:r>
    </w:p>
    <w:p>
      <w:pPr>
        <w:pStyle w:val="Bmed1st5"/>
        <w:numPr>
          <w:ilvl w:val="0"/>
          <w:numId w:val="9"/>
        </w:numPr>
        <w:spacing w:lineRule="auto" w:line="300" w:before="0" w:after="220"/>
        <w:rPr/>
      </w:pPr>
      <w:r>
        <w:rPr>
          <w:i/>
        </w:rPr>
        <w:t>Timing of monetization of gas reserves</w:t>
      </w:r>
      <w:r>
        <w:rPr/>
        <w:t xml:space="preserve"> – For gas producers in the Southern Region, SoCal presents numerous options for the monetization of gas reserves, particularly in terms of accelerating the timing of such monetizations relative to other gas producers.  SoCal’s broad market presence also facilitates optimum structuring of commercial arrangements and risk allocation through its access to transmission capacity and to large, growing and captive markets, as well as through its significant contractual optionality.</w:t>
      </w:r>
    </w:p>
    <w:p>
      <w:pPr>
        <w:pStyle w:val="Bmed1st5"/>
        <w:spacing w:lineRule="auto" w:line="300"/>
        <w:rPr>
          <w:u w:val="single"/>
        </w:rPr>
      </w:pPr>
      <w:r>
        <w:rPr>
          <w:u w:val="single"/>
        </w:rPr>
        <w:t>Strategic Importance of the Southern Region</w:t>
      </w:r>
    </w:p>
    <w:p>
      <w:pPr>
        <w:pStyle w:val="Bmed1st5"/>
        <w:numPr>
          <w:ilvl w:val="0"/>
          <w:numId w:val="9"/>
        </w:numPr>
        <w:spacing w:lineRule="auto" w:line="300"/>
        <w:rPr/>
      </w:pPr>
      <w:r>
        <w:rPr>
          <w:i/>
        </w:rPr>
        <w:t xml:space="preserve">Continuing strong strategic interest in the region </w:t>
      </w:r>
      <w:r>
        <w:rPr/>
        <w:t>– Strategic investors continue to have strong interest in the Southern Region, irrespective of the recent financial market volatility.  Substantial individual acquisitions in the region have been announced by BG and Shell (Comgás), Duke Energy (Paranapanema), AES (Tietê), EDP (IVEN/Escelsa), ENI/Snam (Comgás Noroeste) and Iberdrola (CELPE). Acquisition prices have reflected the continuing belief of investors in the long-term growth prospects, development potential and strategic importance of the region’s substantial energy market.</w:t>
      </w:r>
    </w:p>
    <w:p>
      <w:pPr>
        <w:pStyle w:val="Bmed1st5"/>
        <w:numPr>
          <w:ilvl w:val="0"/>
          <w:numId w:val="9"/>
        </w:numPr>
        <w:spacing w:lineRule="auto" w:line="300"/>
        <w:rPr/>
      </w:pPr>
      <w:r>
        <w:rPr>
          <w:i/>
        </w:rPr>
        <w:t xml:space="preserve">Differentiated value proposition - </w:t>
      </w:r>
      <w:r>
        <w:rPr/>
        <w:t>SoCal provides a unique opportunity to acquire a controlling and co-controlling position in an integrated energy business in the Southern Region and represents an extremely high value-added franchise.</w:t>
      </w:r>
    </w:p>
    <w:p>
      <w:pPr>
        <w:pStyle w:val="Bmed1st5"/>
        <w:spacing w:lineRule="auto" w:line="300"/>
        <w:rPr>
          <w:u w:val="single"/>
        </w:rPr>
      </w:pPr>
      <w:r>
        <w:rPr>
          <w:u w:val="single"/>
        </w:rPr>
        <w:t>Financial Profile</w:t>
      </w:r>
    </w:p>
    <w:p>
      <w:pPr>
        <w:pStyle w:val="Bmed1st5"/>
        <w:numPr>
          <w:ilvl w:val="0"/>
          <w:numId w:val="9"/>
        </w:numPr>
        <w:spacing w:lineRule="auto" w:line="300" w:before="0" w:after="220"/>
        <w:ind w:hanging="357" w:start="357" w:end="0"/>
        <w:rPr/>
      </w:pPr>
      <w:r>
        <w:rPr>
          <w:i/>
        </w:rPr>
        <w:t xml:space="preserve">Unique combination of strong existing cash flows with exceptional growth prospects </w:t>
      </w:r>
      <w:r>
        <w:rPr/>
        <w:t>– From a financial perspective, SoCal consists of a highly attractive mix of businesses with strong existing and predictable future cashflows, such as Elektro, TGS and CEG/Riogas, as well as greenfield and brownfield projects and companies with significant growth in revenues and cashflows as their activities increase over the next two to three years.  These include the Cuiabá Project, Riogen, Puerto Suarez, BBPL, Transredes and the Gaspart LDCs. Finally, SoCal has a number of additional upside opportunities that offer the prospect of even higher returns and growth rates such as gas and power marketing/funding, fiber optical, telecoms etc..  In this respect, Elektro and TGS in particular provide a source of cashflow to finance the development of these projects.  Based on its existing asset portfolio only, Enron estimates that SoCal’s EBITDA (inclusive of management fees and affiliate transactions) will grow by [43.8]%, [23.8]% and [23.9]% in 2000, 2001 and 2002 respectively.  Its net income is projected to grow by [20.5]% and [60.6]% in 2001 and 2002, respectively, after recording a loss in 1999.  The high growth in 2000 EBITDA is due in part to the impact of the devaluation of the Brazilian real in 1999.  The following table highlights these financial projections. The optionality and upsides that can be realized from SoCal’s asset position are expected to generate significantly higher returns.</w:t>
      </w:r>
    </w:p>
    <w:p>
      <w:pPr>
        <w:pStyle w:val="Normal"/>
        <w:spacing w:lineRule="auto" w:line="300" w:before="0" w:after="220"/>
        <w:jc w:val="both"/>
        <w:rPr/>
      </w:pPr>
      <w:r>
        <w:rPr/>
        <w:t>The financial information attached represents local GAAP projections translated into US dollars at projected average exchange rates for each year and has been shown both at the operating company level and proportional to Enron’s direct ownership interest in each company using the percentages shown.  In the case of the proportional EBITDA, O&amp;M fees payable to Enron have been added back so as to present more accurately the operating cashflows accruing to Enron.  In the case of Net Income after tax, O&amp;M fees have also been added back.</w:t>
      </w:r>
      <w:r>
        <mc:AlternateContent>
          <mc:Choice Requires="wps">
            <w:drawing>
              <wp:anchor behindDoc="0" distT="0" distB="0" distL="114935" distR="114935" simplePos="0" locked="0" layoutInCell="0" allowOverlap="1" relativeHeight="13">
                <wp:simplePos x="0" y="0"/>
                <wp:positionH relativeFrom="page">
                  <wp:posOffset>914400</wp:posOffset>
                </wp:positionH>
                <wp:positionV relativeFrom="paragraph">
                  <wp:posOffset>-40640</wp:posOffset>
                </wp:positionV>
                <wp:extent cx="2108200" cy="236855"/>
                <wp:effectExtent l="0" t="0" r="0" b="0"/>
                <wp:wrapNone/>
                <wp:docPr id="9" name="Frame6"/>
                <a:graphic xmlns:a="http://schemas.openxmlformats.org/drawingml/2006/main">
                  <a:graphicData uri="http://schemas.microsoft.com/office/word/2010/wordprocessingShape">
                    <wps:wsp>
                      <wps:cNvSpPr txBox="1"/>
                      <wps:spPr>
                        <a:xfrm>
                          <a:off x="0" y="0"/>
                          <a:ext cx="2108200" cy="236855"/>
                        </a:xfrm>
                        <a:prstGeom prst="rect"/>
                        <a:solidFill>
                          <a:srgbClr val="FFFFFF">
                            <a:alpha val="0"/>
                          </a:srgbClr>
                        </a:solidFill>
                      </wps:spPr>
                      <wps:txbx>
                        <w:txbxContent>
                          <w:p>
                            <w:pPr>
                              <w:pStyle w:val="zSideBar"/>
                              <w:rPr>
                                <w:lang w:val="en-GB"/>
                              </w:rPr>
                            </w:pPr>
                            <w:r>
                              <w:rPr>
                                <w:lang w:val="en-GB"/>
                              </w:rPr>
                              <w:t>Financial Summary</w:t>
                            </w:r>
                          </w:p>
                        </w:txbxContent>
                      </wps:txbx>
                      <wps:bodyPr anchor="t" lIns="635" tIns="46355" rIns="92075" bIns="46355">
                        <a:noAutofit/>
                      </wps:bodyPr>
                    </wps:wsp>
                  </a:graphicData>
                </a:graphic>
              </wp:anchor>
            </w:drawing>
          </mc:Choice>
          <mc:Fallback>
            <w:pict>
              <v:rect fillcolor="#FFFFFF" style="position:absolute;rotation:-0;width:166pt;height:18.65pt;mso-wrap-distance-left:9.05pt;mso-wrap-distance-right:9.05pt;mso-wrap-distance-top:0pt;mso-wrap-distance-bottom:0pt;margin-top:-3.2pt;mso-position-vertical-relative:text;margin-left:72pt;mso-position-horizontal-relative:page">
                <v:fill opacity="0f"/>
                <v:textbox inset="0.000694444444444445in,0.0506944444444444in,0.100694444444444in,0.0506944444444444in">
                  <w:txbxContent>
                    <w:p>
                      <w:pPr>
                        <w:pStyle w:val="zSideBar"/>
                        <w:rPr>
                          <w:lang w:val="en-GB"/>
                        </w:rPr>
                      </w:pPr>
                      <w:r>
                        <w:rPr>
                          <w:lang w:val="en-GB"/>
                        </w:rPr>
                        <w:t>Financial Summary</w:t>
                      </w:r>
                    </w:p>
                  </w:txbxContent>
                </v:textbox>
                <w10:wrap type="none"/>
              </v:rect>
            </w:pict>
          </mc:Fallback>
        </mc:AlternateContent>
      </w:r>
    </w:p>
    <w:p>
      <w:pPr>
        <w:pStyle w:val="Normal"/>
        <w:spacing w:lineRule="auto" w:line="300" w:before="0" w:after="220"/>
        <w:jc w:val="both"/>
        <w:rPr/>
      </w:pPr>
      <w:r>
        <w:rPr/>
        <w:t>The financial projections and the accompanying charts demonstrate clearly:</w:t>
      </w:r>
    </w:p>
    <w:p>
      <w:pPr>
        <w:pStyle w:val="Bmed1st5"/>
        <w:numPr>
          <w:ilvl w:val="0"/>
          <w:numId w:val="9"/>
        </w:numPr>
        <w:spacing w:lineRule="auto" w:line="300"/>
        <w:rPr/>
      </w:pPr>
      <w:r>
        <w:rPr/>
        <w:t>The strong solid operating cashflow generated by SoCal in 1999, a year of weak economic growth and high interest rates in Latin America as a whole;</w:t>
      </w:r>
    </w:p>
    <w:p>
      <w:pPr>
        <w:pStyle w:val="Bmed1st5"/>
        <w:numPr>
          <w:ilvl w:val="0"/>
          <w:numId w:val="9"/>
        </w:numPr>
        <w:spacing w:lineRule="auto" w:line="300"/>
        <w:rPr/>
      </w:pPr>
      <w:r>
        <w:rPr/>
        <w:t>The exceptional growth in revenues, cashflows and earnings that SoCal generates;</w:t>
      </w:r>
    </w:p>
    <w:p>
      <w:pPr>
        <w:pStyle w:val="Bmed1st5"/>
        <w:numPr>
          <w:ilvl w:val="0"/>
          <w:numId w:val="9"/>
        </w:numPr>
        <w:spacing w:lineRule="auto" w:line="300"/>
        <w:rPr/>
      </w:pPr>
      <w:r>
        <w:rPr/>
        <w:t>The improving balance between the different businesses of SoCal as the power generation projects enter service and the build-out of the natural gas LDC networks is implemented.</w:t>
      </w:r>
    </w:p>
    <w:p>
      <w:pPr>
        <w:pStyle w:val="Normal"/>
        <w:spacing w:lineRule="auto" w:line="300" w:before="0" w:after="220"/>
        <w:jc w:val="both"/>
        <w:rPr/>
      </w:pPr>
      <w:r>
        <w:rPr/>
        <w:t>Investors worldwide are currently extremely focussed on earnings and cashflow growth as a driver of equity market valuations.  SoCal represents a source of immediate and fast growing earnings and cashflow.  At a time when investor sentiment towards Latin America is now highly positive, and in light of the unique opportunities in Latin America to exploit the worldwide convergence of the gas and power industries, investors are more likely than at any time in the last 3 years to respond favourably to a large acquisition in the region.</w:t>
      </w:r>
    </w:p>
    <w:p>
      <w:pPr>
        <w:pStyle w:val="Normal"/>
        <w:keepNext w:val="true"/>
        <w:keepLines/>
        <w:spacing w:lineRule="auto" w:line="300" w:before="0" w:after="220"/>
        <w:jc w:val="both"/>
        <w:rPr/>
      </w:pPr>
      <w:r>
        <w:rPr/>
        <w:t>Finally, it should be noted that the projections shown represent only the earnings and cashflows of the individual businesses.  No attempt has been made to incorporate any value for the franchise and development opportunities presented by SoCal’s integrated portfolio of assets and businesses.</w:t>
      </w:r>
    </w:p>
    <w:p>
      <w:pPr>
        <w:pStyle w:val="Normal"/>
        <w:keepNext w:val="true"/>
        <w:keepLines/>
        <w:spacing w:lineRule="auto" w:line="300" w:before="0" w:after="220"/>
        <w:jc w:val="both"/>
        <w:rPr/>
      </w:pPr>
      <w:r>
        <w:rPr/>
      </w:r>
    </w:p>
    <w:p>
      <w:pPr>
        <w:pStyle w:val="Normal"/>
        <w:keepNext w:val="true"/>
        <w:keepLines/>
        <w:spacing w:lineRule="auto" w:line="300" w:before="0" w:after="220"/>
        <w:jc w:val="both"/>
        <w:rPr/>
      </w:pPr>
      <w:r>
        <w:rPr/>
      </w:r>
    </w:p>
    <w:p>
      <w:pPr>
        <w:pStyle w:val="Normalmed"/>
        <w:keepNext w:val="true"/>
        <w:keepLines/>
        <w:spacing w:lineRule="auto" w:line="300" w:before="0" w:after="220"/>
        <w:rPr/>
      </w:pPr>
      <w:r>
        <w:rPr/>
        <w:t>[CHARTS AND SUMMARY FINANCIALS TO BE ADDED]</w:t>
      </w:r>
      <w:r>
        <w:br w:type="page"/>
      </w:r>
    </w:p>
    <w:p>
      <w:pPr>
        <w:pStyle w:val="Bmed1st5"/>
        <w:spacing w:lineRule="auto" w:line="300"/>
        <w:rPr/>
      </w:pPr>
      <w:r>
        <w:rPr/>
        <w:t>Breakdown of Activities</w:t>
      </w:r>
    </w:p>
    <w:tbl>
      <w:tblPr>
        <w:tblW w:w="9990" w:type="dxa"/>
        <w:jc w:val="start"/>
        <w:tblInd w:w="-3294" w:type="dxa"/>
        <w:tblLayout w:type="fixed"/>
        <w:tblCellMar>
          <w:top w:w="0" w:type="dxa"/>
          <w:start w:w="108" w:type="dxa"/>
          <w:bottom w:w="0" w:type="dxa"/>
          <w:end w:w="108" w:type="dxa"/>
        </w:tblCellMar>
      </w:tblPr>
      <w:tblGrid>
        <w:gridCol w:w="4995"/>
        <w:gridCol w:w="4995"/>
      </w:tblGrid>
      <w:tr>
        <w:trPr/>
        <w:tc>
          <w:tcPr>
            <w:tcW w:w="9990" w:type="dxa"/>
            <w:gridSpan w:val="2"/>
            <w:tcBorders/>
          </w:tcPr>
          <w:p>
            <w:pPr>
              <w:pStyle w:val="Normal"/>
              <w:keepNext w:val="true"/>
              <w:rPr/>
            </w:pPr>
            <w:r>
              <w:rPr/>
              <w:drawing>
                <wp:inline distT="0" distB="0" distL="0" distR="0">
                  <wp:extent cx="6203315" cy="4453890"/>
                  <wp:effectExtent l="0" t="0" r="0" b="0"/>
                  <wp:docPr id="10"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 descr="" title=""/>
                          <pic:cNvPicPr>
                            <a:picLocks noChangeAspect="1" noChangeArrowheads="1"/>
                          </pic:cNvPicPr>
                        </pic:nvPicPr>
                        <pic:blipFill>
                          <a:blip r:embed="rId11"/>
                          <a:srcRect l="-5" t="-6" r="-5" b="-6"/>
                          <a:stretch>
                            <a:fillRect/>
                          </a:stretch>
                        </pic:blipFill>
                        <pic:spPr bwMode="auto">
                          <a:xfrm>
                            <a:off x="0" y="0"/>
                            <a:ext cx="6203315" cy="4453890"/>
                          </a:xfrm>
                          <a:prstGeom prst="rect">
                            <a:avLst/>
                          </a:prstGeom>
                          <a:noFill/>
                        </pic:spPr>
                      </pic:pic>
                    </a:graphicData>
                  </a:graphic>
                </wp:inline>
              </w:drawing>
            </w:r>
            <w:r>
              <mc:AlternateContent>
                <mc:Choice Requires="wps">
                  <w:drawing>
                    <wp:anchor behindDoc="0" distT="0" distB="0" distL="114935" distR="114935" simplePos="0" locked="0" layoutInCell="0" allowOverlap="1" relativeHeight="14">
                      <wp:simplePos x="0" y="0"/>
                      <wp:positionH relativeFrom="margin">
                        <wp:posOffset>-1330325</wp:posOffset>
                      </wp:positionH>
                      <wp:positionV relativeFrom="paragraph">
                        <wp:posOffset>3182620</wp:posOffset>
                      </wp:positionV>
                      <wp:extent cx="1014730" cy="283210"/>
                      <wp:effectExtent l="0" t="0" r="0" b="0"/>
                      <wp:wrapNone/>
                      <wp:docPr id="11" name="Frame8"/>
                      <a:graphic xmlns:a="http://schemas.openxmlformats.org/drawingml/2006/main">
                        <a:graphicData uri="http://schemas.microsoft.com/office/word/2010/wordprocessingShape">
                          <wps:wsp>
                            <wps:cNvSpPr txBox="1"/>
                            <wps:spPr>
                              <a:xfrm>
                                <a:off x="0" y="0"/>
                                <a:ext cx="1014730" cy="283210"/>
                              </a:xfrm>
                              <a:prstGeom prst="rect"/>
                              <a:solidFill>
                                <a:srgbClr val="FFFFFF"/>
                              </a:solidFill>
                              <a:ln w="9525">
                                <a:solidFill>
                                  <a:srgbClr val="000000"/>
                                </a:solidFill>
                              </a:ln>
                            </wps:spPr>
                            <wps:txbx>
                              <w:txbxContent>
                                <w:p>
                                  <w:pPr>
                                    <w:pStyle w:val="Normal"/>
                                    <w:rPr/>
                                  </w:pPr>
                                  <w:r>
                                    <w:rPr/>
                                    <w:t>To be updated</w:t>
                                  </w:r>
                                </w:p>
                              </w:txbxContent>
                            </wps:txbx>
                            <wps:bodyPr anchor="t" lIns="91440" tIns="45720" rIns="91440" bIns="45720">
                              <a:noAutofit/>
                            </wps:bodyPr>
                          </wps:wsp>
                        </a:graphicData>
                      </a:graphic>
                    </wp:anchor>
                  </w:drawing>
                </mc:Choice>
                <mc:Fallback>
                  <w:pict>
                    <v:rect fillcolor="#FFFFFF" strokecolor="#000000" strokeweight="0pt" style="position:absolute;rotation:-0;width:79.9pt;height:22.3pt;mso-wrap-distance-left:9.05pt;mso-wrap-distance-right:9.05pt;mso-wrap-distance-top:0pt;mso-wrap-distance-bottom:0pt;margin-top:250.6pt;mso-position-vertical-relative:text;margin-left:-104.75pt;mso-position-horizontal-relative:margin">
                      <v:textbox>
                        <w:txbxContent>
                          <w:p>
                            <w:pPr>
                              <w:pStyle w:val="Normal"/>
                              <w:rPr/>
                            </w:pPr>
                            <w:r>
                              <w:rPr/>
                              <w:t>To be updated</w:t>
                            </w:r>
                          </w:p>
                        </w:txbxContent>
                      </v:textbox>
                      <w10:wrap type="none"/>
                    </v:rect>
                  </w:pict>
                </mc:Fallback>
              </mc:AlternateContent>
            </w:r>
            <w:r>
              <mc:AlternateContent>
                <mc:Choice Requires="wps">
                  <w:drawing>
                    <wp:anchor behindDoc="0" distT="0" distB="0" distL="114935" distR="114935" simplePos="0" locked="0" layoutInCell="0" allowOverlap="1" relativeHeight="15">
                      <wp:simplePos x="0" y="0"/>
                      <wp:positionH relativeFrom="margin">
                        <wp:posOffset>2235835</wp:posOffset>
                      </wp:positionH>
                      <wp:positionV relativeFrom="paragraph">
                        <wp:posOffset>3182620</wp:posOffset>
                      </wp:positionV>
                      <wp:extent cx="1014730" cy="283210"/>
                      <wp:effectExtent l="0" t="0" r="0" b="0"/>
                      <wp:wrapNone/>
                      <wp:docPr id="12" name="Frame7"/>
                      <a:graphic xmlns:a="http://schemas.openxmlformats.org/drawingml/2006/main">
                        <a:graphicData uri="http://schemas.microsoft.com/office/word/2010/wordprocessingShape">
                          <wps:wsp>
                            <wps:cNvSpPr txBox="1"/>
                            <wps:spPr>
                              <a:xfrm>
                                <a:off x="0" y="0"/>
                                <a:ext cx="1014730" cy="283210"/>
                              </a:xfrm>
                              <a:prstGeom prst="rect"/>
                              <a:solidFill>
                                <a:srgbClr val="FFFFFF"/>
                              </a:solidFill>
                              <a:ln w="9525">
                                <a:solidFill>
                                  <a:srgbClr val="000000"/>
                                </a:solidFill>
                              </a:ln>
                            </wps:spPr>
                            <wps:txbx>
                              <w:txbxContent>
                                <w:p>
                                  <w:pPr>
                                    <w:pStyle w:val="Normal"/>
                                    <w:rPr/>
                                  </w:pPr>
                                  <w:r>
                                    <w:rPr/>
                                    <w:t>To be updated</w:t>
                                  </w:r>
                                </w:p>
                              </w:txbxContent>
                            </wps:txbx>
                            <wps:bodyPr anchor="t" lIns="91440" tIns="45720" rIns="91440" bIns="45720">
                              <a:noAutofit/>
                            </wps:bodyPr>
                          </wps:wsp>
                        </a:graphicData>
                      </a:graphic>
                    </wp:anchor>
                  </w:drawing>
                </mc:Choice>
                <mc:Fallback>
                  <w:pict>
                    <v:rect fillcolor="#FFFFFF" strokecolor="#000000" strokeweight="0pt" style="position:absolute;rotation:-0;width:79.9pt;height:22.3pt;mso-wrap-distance-left:9.05pt;mso-wrap-distance-right:9.05pt;mso-wrap-distance-top:0pt;mso-wrap-distance-bottom:0pt;margin-top:250.6pt;mso-position-vertical-relative:text;margin-left:176.05pt;mso-position-horizontal-relative:margin">
                      <v:textbox>
                        <w:txbxContent>
                          <w:p>
                            <w:pPr>
                              <w:pStyle w:val="Normal"/>
                              <w:rPr/>
                            </w:pPr>
                            <w:r>
                              <w:rPr/>
                              <w:t>To be updated</w:t>
                            </w:r>
                          </w:p>
                        </w:txbxContent>
                      </v:textbox>
                      <w10:wrap type="none"/>
                    </v:rect>
                  </w:pict>
                </mc:Fallback>
              </mc:AlternateContent>
            </w:r>
          </w:p>
        </w:tc>
      </w:tr>
      <w:tr>
        <w:trPr/>
        <w:tc>
          <w:tcPr>
            <w:tcW w:w="4995" w:type="dxa"/>
            <w:tcBorders/>
          </w:tcPr>
          <w:p>
            <w:pPr>
              <w:pStyle w:val="Normal"/>
              <w:keepNext w:val="true"/>
              <w:snapToGrid w:val="false"/>
              <w:rPr>
                <w:rFonts w:ascii="Arial Narrow" w:hAnsi="Arial Narrow" w:cs="Arial Narrow"/>
              </w:rPr>
            </w:pPr>
            <w:r>
              <w:rPr>
                <w:rFonts w:cs="Arial Narrow" w:ascii="Arial Narrow" w:hAnsi="Arial Narrow"/>
              </w:rPr>
            </w:r>
          </w:p>
        </w:tc>
        <w:tc>
          <w:tcPr>
            <w:tcW w:w="4995" w:type="dxa"/>
            <w:tcBorders/>
          </w:tcPr>
          <w:p>
            <w:pPr>
              <w:pStyle w:val="Normal"/>
              <w:keepNext w:val="true"/>
              <w:snapToGrid w:val="false"/>
              <w:rPr/>
            </w:pPr>
            <w:r>
              <w:rPr/>
            </w:r>
          </w:p>
        </w:tc>
      </w:tr>
    </w:tbl>
    <w:p>
      <w:pPr>
        <w:pStyle w:val="BLKmed1st11"/>
        <w:spacing w:before="0" w:after="0"/>
        <w:jc w:val="center"/>
        <w:rPr/>
      </w:pPr>
      <w:r>
        <w:rPr>
          <w:rStyle w:val="hidden"/>
        </w:rPr>
        <w:t>Inserted from PCDOCs 251267 20/03/00</w:t>
      </w:r>
    </w:p>
    <w:p>
      <w:pPr>
        <w:pStyle w:val="Bmed1st5"/>
        <w:spacing w:lineRule="auto" w:line="300"/>
        <w:rPr>
          <w:rStyle w:val="hidden"/>
        </w:rPr>
      </w:pPr>
      <w:r>
        <w:rPr/>
      </w:r>
    </w:p>
    <w:p>
      <w:pPr>
        <w:sectPr>
          <w:headerReference w:type="default" r:id="rId12"/>
          <w:headerReference w:type="first" r:id="rId13"/>
          <w:footerReference w:type="default" r:id="rId14"/>
          <w:footerReference w:type="first" r:id="rId15"/>
          <w:type w:val="nextPage"/>
          <w:pgSz w:w="12240" w:h="15840"/>
          <w:pgMar w:left="4680" w:right="1080" w:gutter="0" w:header="1440" w:top="1496" w:footer="432" w:bottom="1440"/>
          <w:pgNumType w:fmt="decimal"/>
          <w:formProt w:val="false"/>
          <w:titlePg/>
          <w:textDirection w:val="lrTb"/>
          <w:docGrid w:type="default" w:linePitch="360" w:charSpace="0"/>
        </w:sectPr>
        <w:pStyle w:val="Bmed1st5"/>
        <w:spacing w:lineRule="auto" w:line="300"/>
        <w:rPr/>
      </w:pPr>
      <w:r>
        <w:rPr/>
      </w:r>
    </w:p>
    <w:p>
      <w:pPr>
        <w:pStyle w:val="BLKmed1st11"/>
        <w:ind w:start="-3240" w:end="0"/>
        <w:rPr>
          <w:u w:val="none"/>
          <w:lang w:val="en-CA"/>
        </w:rPr>
      </w:pPr>
      <w:r>
        <w:rPr>
          <w:u w:val="none"/>
          <w:lang w:val="en-CA"/>
        </w:rPr>
        <w:drawing>
          <wp:anchor behindDoc="0" distT="0" distB="0" distL="114935" distR="114935" simplePos="0" locked="0" layoutInCell="0" allowOverlap="1" relativeHeight="11">
            <wp:simplePos x="0" y="0"/>
            <wp:positionH relativeFrom="column">
              <wp:posOffset>-80010</wp:posOffset>
            </wp:positionH>
            <wp:positionV relativeFrom="paragraph">
              <wp:posOffset>-753745</wp:posOffset>
            </wp:positionV>
            <wp:extent cx="8390255" cy="3432810"/>
            <wp:effectExtent l="0" t="0" r="0" b="0"/>
            <wp:wrapTopAndBottom/>
            <wp:docPr id="1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 descr="" title=""/>
                    <pic:cNvPicPr>
                      <a:picLocks noChangeAspect="1" noChangeArrowheads="1"/>
                    </pic:cNvPicPr>
                  </pic:nvPicPr>
                  <pic:blipFill>
                    <a:blip r:embed="rId16"/>
                    <a:srcRect l="2258" t="2302" r="2472" b="1888"/>
                    <a:stretch>
                      <a:fillRect/>
                    </a:stretch>
                  </pic:blipFill>
                  <pic:spPr bwMode="auto">
                    <a:xfrm>
                      <a:off x="0" y="0"/>
                      <a:ext cx="8390255" cy="3432810"/>
                    </a:xfrm>
                    <a:prstGeom prst="rect">
                      <a:avLst/>
                    </a:prstGeom>
                    <a:noFill/>
                  </pic:spPr>
                </pic:pic>
              </a:graphicData>
            </a:graphic>
          </wp:anchor>
        </w:drawing>
      </w:r>
    </w:p>
    <w:p>
      <w:pPr>
        <w:pStyle w:val="BLKmed1st11"/>
        <w:spacing w:before="0" w:after="220"/>
        <w:rPr>
          <w:u w:val="none"/>
        </w:rPr>
      </w:pPr>
      <w:r>
        <w:rPr>
          <w:u w:val="none"/>
        </w:rPr>
      </w:r>
    </w:p>
    <w:sectPr>
      <w:headerReference w:type="default" r:id="rId17"/>
      <w:headerReference w:type="first" r:id="rId18"/>
      <w:footerReference w:type="default" r:id="rId19"/>
      <w:footerReference w:type="first" r:id="rId20"/>
      <w:type w:val="nextPage"/>
      <w:pgSz w:orient="landscape" w:w="15840" w:h="12240"/>
      <w:pgMar w:left="1440" w:right="1440" w:gutter="0" w:header="1440" w:top="4678" w:footer="431" w:bottom="107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Narrow">
    <w:charset w:val="00" w:characterSet="windows-1252"/>
    <w:family w:val="swiss"/>
    <w:pitch w:val="variable"/>
  </w:font>
  <w:font w:name="Sabon">
    <w:charset w:val="00" w:characterSet="windows-1252"/>
    <w:family w:val="auto"/>
    <w:pitch w:val="variable"/>
  </w:font>
  <w:font w:name="Wingdings">
    <w:charset w:val="02"/>
    <w:family w:val="auto"/>
    <w:pitch w:val="variable"/>
  </w:font>
  <w:font w:name="Courier New">
    <w:charset w:val="00" w:characterSet="windows-1252"/>
    <w:family w:val="modern"/>
    <w:pitch w:val="default"/>
  </w:font>
  <w:font w:name="ZapfDingbats">
    <w:charset w:val="02"/>
    <w:family w:val="decorative"/>
    <w:pitch w:val="variable"/>
  </w:font>
  <w:font w:name="Liberation Sans">
    <w:altName w:val="Arial"/>
    <w:charset w:val="01" w:characterSet="utf-8"/>
    <w:family w:val="swiss"/>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Section"/>
      <w:tabs>
        <w:tab w:val="clear" w:pos="360"/>
        <w:tab w:val="right" w:pos="6480" w:leader="none"/>
        <w:tab w:val="right" w:pos="12780" w:leader="none"/>
      </w:tabs>
      <w:rPr/>
    </w:pPr>
    <w:r>
      <w:rPr>
        <w:lang w:val="en-CA"/>
      </w:rPr>
      <w:fldChar w:fldCharType="begin"/>
    </w:r>
    <w:r>
      <w:rPr>
        <w:lang w:val="en-CA"/>
      </w:rPr>
      <w:instrText xml:space="preserve"> IF  "" ""</w:instrText>
    </w:r>
    <w:r>
      <w:rPr>
        <w:lang w:val="en-CA"/>
      </w:rPr>
      <w:fldChar w:fldCharType="separate"/>
    </w:r>
    <w:r>
      <w:rPr>
        <w:lang w:val="en-CA"/>
      </w:rPr>
    </w:r>
    <w:r>
      <w:rPr>
        <w:lang w:val="en-CA"/>
      </w:rPr>
      <w:fldChar w:fldCharType="end"/>
    </w:r>
    <w:r>
      <w:rPr/>
      <w:t xml:space="preserve"> </w:t>
    </w:r>
    <w:r>
      <w:rPr/>
      <w:t>I</w:t>
      <w:tab/>
    </w:r>
    <w:r>
      <w:rPr>
        <w:b/>
      </w:rPr>
      <w:t>Confidential</w:t>
    </w:r>
  </w:p>
  <w:p>
    <w:pPr>
      <w:pStyle w:val="PAGENUMBER1"/>
      <w:tabs>
        <w:tab w:val="clear" w:pos="360"/>
        <w:tab w:val="center" w:pos="6390" w:leader="none"/>
      </w:tabs>
      <w:spacing w:before="0" w:after="0"/>
      <w:ind w:start="-3240" w:end="0"/>
      <w:rPr/>
    </w:pPr>
    <w:r>
      <w:rPr>
        <w:rStyle w:val="PageNumber"/>
      </w:rPr>
      <w:t xml:space="preserve">                                                          </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p>
  <w:p>
    <w:pPr>
      <w:pStyle w:val="DocumentID"/>
      <w:spacing w:before="0" w:after="0"/>
      <w:ind w:start="-3240" w:end="0"/>
      <w:rPr/>
    </w:pPr>
    <w:r>
      <w:rPr/>
      <w:t>LNCFD/251176/</w:t>
    </w:r>
    <w:r>
      <w:rPr/>
      <w:fldChar w:fldCharType="begin"/>
    </w:r>
    <w:r>
      <w:rPr/>
      <w:instrText xml:space="preserve"> DATE \@"dd\-MM\-yy\ H:mm" </w:instrText>
    </w:r>
    <w:r>
      <w:rPr/>
      <w:fldChar w:fldCharType="separate"/>
    </w:r>
    <w:r>
      <w:rPr/>
      <w:t>28-09-25 9:38</w:t>
    </w:r>
    <w:r>
      <w:rPr/>
      <w:fldChar w:fldCharType="end"/>
    </w:r>
    <w:r>
      <w:rPr/>
      <w:t>/GYLLINGC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Section"/>
      <w:tabs>
        <w:tab w:val="clear" w:pos="360"/>
        <w:tab w:val="right" w:pos="6480" w:leader="none"/>
        <w:tab w:val="right" w:pos="12780" w:leader="none"/>
      </w:tabs>
      <w:rPr/>
    </w:pPr>
    <w:r>
      <w:rPr>
        <w:lang w:val="en-CA"/>
      </w:rPr>
      <w:fldChar w:fldCharType="begin"/>
    </w:r>
    <w:r>
      <w:rPr>
        <w:lang w:val="en-CA"/>
      </w:rPr>
      <w:instrText xml:space="preserve"> IF  "" ""</w:instrText>
    </w:r>
    <w:r>
      <w:rPr>
        <w:lang w:val="en-CA"/>
      </w:rPr>
      <w:fldChar w:fldCharType="separate"/>
    </w:r>
    <w:r>
      <w:rPr>
        <w:lang w:val="en-CA"/>
      </w:rPr>
    </w:r>
    <w:r>
      <w:rPr>
        <w:lang w:val="en-CA"/>
      </w:rPr>
      <w:fldChar w:fldCharType="end"/>
    </w:r>
    <w:r>
      <w:rPr/>
      <w:t xml:space="preserve"> </w:t>
    </w:r>
    <w:r>
      <w:rPr/>
      <w:t>I</w:t>
      <w:tab/>
    </w:r>
    <w:r>
      <w:rPr>
        <w:b/>
      </w:rPr>
      <w:t>Confidential</w:t>
    </w:r>
  </w:p>
  <w:p>
    <w:pPr>
      <w:pStyle w:val="PAGENUMBER1"/>
      <w:tabs>
        <w:tab w:val="clear" w:pos="360"/>
        <w:tab w:val="center" w:pos="6390" w:leader="none"/>
      </w:tabs>
      <w:spacing w:before="0" w:after="0"/>
      <w:ind w:start="-3240" w:end="0"/>
      <w:rPr/>
    </w:pPr>
    <w:r>
      <w:rPr>
        <w:rStyle w:val="PageNumber"/>
      </w:rPr>
      <w:t xml:space="preserve">                                                          </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p>
  <w:p>
    <w:pPr>
      <w:pStyle w:val="DocumentID"/>
      <w:spacing w:before="0" w:after="0"/>
      <w:ind w:start="-3240" w:end="0"/>
      <w:rPr/>
    </w:pPr>
    <w:r>
      <w:rPr/>
      <w:t>LNCFD/251176/</w:t>
    </w:r>
    <w:r>
      <w:rPr/>
      <w:fldChar w:fldCharType="begin"/>
    </w:r>
    <w:r>
      <w:rPr/>
      <w:instrText xml:space="preserve"> DATE \@"dd\-MM\-yy\ H:mm" </w:instrText>
    </w:r>
    <w:r>
      <w:rPr/>
      <w:fldChar w:fldCharType="separate"/>
    </w:r>
    <w:r>
      <w:rPr/>
      <w:t>28-09-25 9:38</w:t>
    </w:r>
    <w:r>
      <w:rPr/>
      <w:fldChar w:fldCharType="end"/>
    </w:r>
    <w:r>
      <w:rPr/>
      <w:t>/GYLLINGC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Section"/>
      <w:tabs>
        <w:tab w:val="clear" w:pos="360"/>
        <w:tab w:val="right" w:pos="6480" w:leader="none"/>
        <w:tab w:val="right" w:pos="12780" w:leader="none"/>
      </w:tabs>
      <w:rPr/>
    </w:pPr>
    <w:r>
      <w:rPr>
        <w:lang w:val="en-CA"/>
      </w:rPr>
      <w:fldChar w:fldCharType="begin"/>
    </w:r>
    <w:r>
      <w:rPr>
        <w:lang w:val="en-CA"/>
      </w:rPr>
      <w:instrText xml:space="preserve"> IF  "" ""</w:instrText>
    </w:r>
    <w:r>
      <w:rPr>
        <w:lang w:val="en-CA"/>
      </w:rPr>
      <w:fldChar w:fldCharType="separate"/>
    </w:r>
    <w:r>
      <w:rPr>
        <w:lang w:val="en-CA"/>
      </w:rPr>
    </w:r>
    <w:r>
      <w:rPr>
        <w:lang w:val="en-CA"/>
      </w:rPr>
      <w:fldChar w:fldCharType="end"/>
    </w:r>
    <w:r>
      <w:rPr/>
      <w:t xml:space="preserve"> </w:t>
    </w:r>
    <w:r>
      <w:rPr/>
      <w:t>I</w:t>
      <w:tab/>
    </w:r>
    <w:r>
      <w:rPr>
        <w:b/>
      </w:rPr>
      <w:t>Confidential</w:t>
    </w:r>
  </w:p>
  <w:p>
    <w:pPr>
      <w:pStyle w:val="PAGENUMBER1"/>
      <w:tabs>
        <w:tab w:val="clear" w:pos="360"/>
        <w:tab w:val="center" w:pos="6390" w:leader="none"/>
      </w:tabs>
      <w:spacing w:before="0" w:after="0"/>
      <w:ind w:start="-3240" w:end="0"/>
      <w:rPr/>
    </w:pPr>
    <w:r>
      <w:rPr>
        <w:rStyle w:val="PageNumber"/>
      </w:rPr>
      <w:t xml:space="preserve">                                                          </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r>
      <w:rPr>
        <w:rStyle w:val="PageNumber"/>
      </w:rPr>
      <w:t>)</w:t>
    </w:r>
  </w:p>
  <w:p>
    <w:pPr>
      <w:pStyle w:val="DocumentID"/>
      <w:spacing w:before="0" w:after="0"/>
      <w:ind w:start="-3240" w:end="0"/>
      <w:rPr/>
    </w:pPr>
    <w:r>
      <w:rPr/>
      <w:t>LNCFD/251176/</w:t>
    </w:r>
    <w:r>
      <w:rPr/>
      <w:fldChar w:fldCharType="begin"/>
    </w:r>
    <w:r>
      <w:rPr/>
      <w:instrText xml:space="preserve"> DATE \@"dd\-MM\-yy\ H:mm" </w:instrText>
    </w:r>
    <w:r>
      <w:rPr/>
      <w:fldChar w:fldCharType="separate"/>
    </w:r>
    <w:r>
      <w:rPr/>
      <w:t>28-09-25 9:38</w:t>
    </w:r>
    <w:r>
      <w:rPr/>
      <w:fldChar w:fldCharType="end"/>
    </w:r>
    <w:r>
      <w:rPr/>
      <w:t>/GYLLINGC</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Section"/>
      <w:tabs>
        <w:tab w:val="clear" w:pos="360"/>
        <w:tab w:val="right" w:pos="6480" w:leader="none"/>
        <w:tab w:val="right" w:pos="12780" w:leader="none"/>
      </w:tabs>
      <w:rPr/>
    </w:pPr>
    <w:r>
      <w:rPr>
        <w:lang w:val="en-CA"/>
      </w:rPr>
      <w:fldChar w:fldCharType="begin"/>
    </w:r>
    <w:r>
      <w:rPr>
        <w:lang w:val="en-CA"/>
      </w:rPr>
      <w:instrText xml:space="preserve"> IF  "" ""</w:instrText>
    </w:r>
    <w:r>
      <w:rPr>
        <w:lang w:val="en-CA"/>
      </w:rPr>
      <w:fldChar w:fldCharType="separate"/>
    </w:r>
    <w:r>
      <w:rPr>
        <w:lang w:val="en-CA"/>
      </w:rPr>
    </w:r>
    <w:r>
      <w:rPr>
        <w:lang w:val="en-CA"/>
      </w:rPr>
      <w:fldChar w:fldCharType="end"/>
    </w:r>
    <w:r>
      <w:rPr/>
      <w:t xml:space="preserve"> </w:t>
    </w:r>
    <w:r>
      <w:rPr/>
      <w:t>I</w:t>
      <w:tab/>
    </w:r>
    <w:r>
      <w:rPr>
        <w:b/>
      </w:rPr>
      <w:t>Confidential</w:t>
    </w:r>
  </w:p>
  <w:p>
    <w:pPr>
      <w:pStyle w:val="PAGENUMBER1"/>
      <w:tabs>
        <w:tab w:val="clear" w:pos="360"/>
        <w:tab w:val="center" w:pos="6390" w:leader="none"/>
      </w:tabs>
      <w:spacing w:before="0" w:after="0"/>
      <w:ind w:start="-3240" w:end="0"/>
      <w:rPr/>
    </w:pPr>
    <w:r>
      <w:rPr>
        <w:rStyle w:val="PageNumber"/>
      </w:rPr>
      <w:t xml:space="preserve">                                                          </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p>
    <w:pPr>
      <w:pStyle w:val="DocumentID"/>
      <w:spacing w:before="0" w:after="0"/>
      <w:ind w:start="-3240" w:end="0"/>
      <w:rPr/>
    </w:pPr>
    <w:r>
      <w:rPr/>
      <w:fldChar w:fldCharType="begin"/>
    </w:r>
    <w:r>
      <w:rPr/>
      <w:instrText xml:space="preserve"> KEYWORDS </w:instrText>
    </w:r>
    <w:r>
      <w:rPr/>
      <w:fldChar w:fldCharType="separate"/>
    </w:r>
    <w:r>
      <w:rPr/>
      <w:t>F17\143261\</w:t>
    </w:r>
    <w:r>
      <w:rPr/>
      <w:fldChar w:fldCharType="end"/>
    </w:r>
    <w:r>
      <w:rPr/>
      <w:fldChar w:fldCharType="begin"/>
    </w:r>
    <w:r>
      <w:rPr/>
      <w:instrText xml:space="preserve"> DATE \@"MM\-dd\-yy" </w:instrText>
    </w:r>
    <w:r>
      <w:rPr/>
      <w:fldChar w:fldCharType="separate"/>
    </w:r>
    <w:r>
      <w:rPr/>
      <w:t>09-28-25</w:t>
    </w:r>
    <w:r>
      <w:rPr/>
      <w:fldChar w:fldCharType="end"/>
    </w:r>
    <w:r>
      <w:rPr/>
      <w:t>\</w:t>
    </w:r>
    <w:r>
      <w:rPr/>
      <w:fldChar w:fldCharType="begin"/>
    </w:r>
    <w:r>
      <w:rPr/>
      <w:instrText xml:space="preserve"> DATE \@"M/d/yyyy" </w:instrText>
    </w:r>
    <w:r>
      <w:rPr/>
      <w:fldChar w:fldCharType="separate"/>
    </w:r>
    <w:r>
      <w:rPr/>
      <w:t>9/28/2025</w:t>
    </w:r>
    <w:r>
      <w:rPr/>
      <w:fldChar w:fldCharType="end"/>
    </w:r>
    <w:r>
      <w:rPr/>
      <w:t xml:space="preserve">\PG </w:t>
    </w:r>
    <w:r>
      <w:rPr/>
      <w:fldChar w:fldCharType="begin"/>
    </w:r>
    <w:r>
      <w:rPr/>
      <w:instrText xml:space="preserve"> PAGE </w:instrText>
    </w:r>
    <w:r>
      <w:rPr/>
      <w:fldChar w:fldCharType="separate"/>
    </w:r>
    <w:r>
      <w:rPr/>
      <w:t>4</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Section"/>
      <w:tabs>
        <w:tab w:val="clear" w:pos="360"/>
        <w:tab w:val="right" w:pos="6480" w:leader="none"/>
      </w:tabs>
      <w:rPr/>
    </w:pPr>
    <w:r>
      <w:rPr>
        <w:lang w:val="en-CA"/>
      </w:rPr>
      <w:fldChar w:fldCharType="begin"/>
    </w:r>
    <w:r>
      <w:rPr>
        <w:lang w:val="en-CA"/>
      </w:rPr>
      <w:instrText xml:space="preserve"> IF  "" ""</w:instrText>
    </w:r>
    <w:r>
      <w:rPr>
        <w:lang w:val="en-CA"/>
      </w:rPr>
      <w:fldChar w:fldCharType="separate"/>
    </w:r>
    <w:r>
      <w:rPr>
        <w:lang w:val="en-CA"/>
      </w:rPr>
    </w:r>
    <w:r>
      <w:rPr>
        <w:lang w:val="en-CA"/>
      </w:rPr>
      <w:fldChar w:fldCharType="end"/>
    </w:r>
    <w:r>
      <w:rPr/>
      <w:t xml:space="preserve"> </w:t>
    </w:r>
    <w:r>
      <w:rPr/>
      <w:t>V</w:t>
      <w:tab/>
    </w:r>
    <w:r>
      <w:rPr>
        <w:b/>
      </w:rPr>
      <w:t>Confidential</w:t>
    </w:r>
  </w:p>
  <w:p>
    <w:pPr>
      <w:pStyle w:val="PAGENUMBER1"/>
      <w:spacing w:before="0" w:after="0"/>
      <w:ind w:start="-3600" w:end="0"/>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p>
    <w:pPr>
      <w:pStyle w:val="DocumentID"/>
      <w:rPr/>
    </w:pPr>
    <w:r>
      <w:rPr/>
      <w:fldChar w:fldCharType="begin"/>
    </w:r>
    <w:r>
      <w:rPr/>
      <w:instrText xml:space="preserve"> KEYWORDS </w:instrText>
    </w:r>
    <w:r>
      <w:rPr/>
      <w:fldChar w:fldCharType="separate"/>
    </w:r>
    <w:r>
      <w:rPr/>
      <w:t>F17\143261\</w:t>
    </w:r>
    <w:r>
      <w:rPr/>
      <w:fldChar w:fldCharType="end"/>
    </w:r>
    <w:r>
      <w:rPr/>
      <w:fldChar w:fldCharType="begin"/>
    </w:r>
    <w:r>
      <w:rPr/>
      <w:instrText xml:space="preserve"> DATE \@"MM\-dd\-yy" </w:instrText>
    </w:r>
    <w:r>
      <w:rPr/>
      <w:fldChar w:fldCharType="separate"/>
    </w:r>
    <w:r>
      <w:rPr/>
      <w:t>09-28-25</w:t>
    </w:r>
    <w:r>
      <w:rPr/>
      <w:fldChar w:fldCharType="end"/>
    </w:r>
    <w:r>
      <w:rPr/>
      <w:t>\</w:t>
    </w:r>
    <w:r>
      <w:rPr/>
      <w:fldChar w:fldCharType="begin"/>
    </w:r>
    <w:r>
      <w:rPr/>
      <w:instrText xml:space="preserve"> DATE \@"M-d-yyyy" </w:instrText>
    </w:r>
    <w:r>
      <w:rPr/>
      <w:fldChar w:fldCharType="separate"/>
    </w:r>
    <w:r>
      <w:rPr/>
      <w:t>9/28/2025</w:t>
    </w:r>
    <w:r>
      <w:rPr/>
      <w:fldChar w:fldCharType="end"/>
    </w:r>
    <w:r>
      <w:rPr/>
      <w:t xml:space="preserve">\PG </w:t>
    </w:r>
    <w:r>
      <w:rPr/>
      <w:fldChar w:fldCharType="begin"/>
    </w:r>
    <w:r>
      <w:rPr/>
      <w:instrText xml:space="preserve"> PAGE </w:instrText>
    </w:r>
    <w:r>
      <w:rPr/>
      <w:fldChar w:fldCharType="separate"/>
    </w:r>
    <w:r>
      <w:rPr/>
      <w:t>0</w:t>
    </w:r>
    <w:r>
      <w:rPr/>
      <w:fldChar w:fldCharType="end"/>
    </w:r>
  </w:p>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Section"/>
      <w:tabs>
        <w:tab w:val="clear" w:pos="360"/>
        <w:tab w:val="right" w:pos="6480" w:leader="none"/>
        <w:tab w:val="right" w:pos="12780" w:leader="none"/>
      </w:tabs>
      <w:rPr/>
    </w:pPr>
    <w:r>
      <w:rPr>
        <w:lang w:val="en-CA"/>
      </w:rPr>
      <w:fldChar w:fldCharType="begin"/>
    </w:r>
    <w:r>
      <w:rPr>
        <w:lang w:val="en-CA"/>
      </w:rPr>
      <w:instrText xml:space="preserve"> IF  "" ""</w:instrText>
    </w:r>
    <w:r>
      <w:rPr>
        <w:lang w:val="en-CA"/>
      </w:rPr>
      <w:fldChar w:fldCharType="separate"/>
    </w:r>
    <w:r>
      <w:rPr>
        <w:lang w:val="en-CA"/>
      </w:rPr>
    </w:r>
    <w:r>
      <w:rPr>
        <w:lang w:val="en-CA"/>
      </w:rPr>
      <w:fldChar w:fldCharType="end"/>
    </w:r>
    <w:r>
      <w:rPr/>
      <w:t xml:space="preserve"> </w:t>
    </w:r>
    <w:r>
      <w:rPr/>
      <w:t>I</w:t>
      <w:tab/>
    </w:r>
    <w:r>
      <w:rPr>
        <w:b/>
      </w:rPr>
      <w:t>Confidential</w:t>
    </w:r>
  </w:p>
  <w:p>
    <w:pPr>
      <w:pStyle w:val="PAGENUMBER1"/>
      <w:tabs>
        <w:tab w:val="clear" w:pos="360"/>
        <w:tab w:val="center" w:pos="6390" w:leader="none"/>
      </w:tabs>
      <w:spacing w:before="0" w:after="0"/>
      <w:ind w:start="-3240" w:end="0"/>
      <w:rPr/>
    </w:pPr>
    <w:r>
      <w:rPr>
        <w:rStyle w:val="PageNumber"/>
      </w:rPr>
      <w:t xml:space="preserve">                                                          </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r>
      <w:rPr>
        <w:rStyle w:val="PageNumber"/>
      </w:rPr>
      <w:t>)</w:t>
    </w:r>
  </w:p>
  <w:p>
    <w:pPr>
      <w:pStyle w:val="DocumentID"/>
      <w:spacing w:before="0" w:after="0"/>
      <w:ind w:start="-3240" w:end="0"/>
      <w:rPr/>
    </w:pPr>
    <w:r>
      <w:rPr/>
      <w:fldChar w:fldCharType="begin"/>
    </w:r>
    <w:r>
      <w:rPr/>
      <w:instrText xml:space="preserve"> KEYWORDS </w:instrText>
    </w:r>
    <w:r>
      <w:rPr/>
      <w:fldChar w:fldCharType="separate"/>
    </w:r>
    <w:r>
      <w:rPr/>
      <w:t>F17\143261\</w:t>
    </w:r>
    <w:r>
      <w:rPr/>
      <w:fldChar w:fldCharType="end"/>
    </w:r>
    <w:r>
      <w:rPr/>
      <w:fldChar w:fldCharType="begin"/>
    </w:r>
    <w:r>
      <w:rPr/>
      <w:instrText xml:space="preserve"> DATE \@"MM\-dd\-yy" </w:instrText>
    </w:r>
    <w:r>
      <w:rPr/>
      <w:fldChar w:fldCharType="separate"/>
    </w:r>
    <w:r>
      <w:rPr/>
      <w:t>09-28-25</w:t>
    </w:r>
    <w:r>
      <w:rPr/>
      <w:fldChar w:fldCharType="end"/>
    </w:r>
    <w:r>
      <w:rPr/>
      <w:t>\</w:t>
    </w:r>
    <w:r>
      <w:rPr/>
      <w:fldChar w:fldCharType="begin"/>
    </w:r>
    <w:r>
      <w:rPr/>
      <w:instrText xml:space="preserve"> DATE \@"M/d/yyyy" </w:instrText>
    </w:r>
    <w:r>
      <w:rPr/>
      <w:fldChar w:fldCharType="separate"/>
    </w:r>
    <w:r>
      <w:rPr/>
      <w:t>9/28/2025</w:t>
    </w:r>
    <w:r>
      <w:rPr/>
      <w:fldChar w:fldCharType="end"/>
    </w:r>
    <w:r>
      <w:rPr/>
      <w:t xml:space="preserve">\PG </w:t>
    </w:r>
    <w:r>
      <w:rPr/>
      <w:fldChar w:fldCharType="begin"/>
    </w:r>
    <w:r>
      <w:rPr/>
      <w:instrText xml:space="preserve"> PAGE </w:instrText>
    </w:r>
    <w:r>
      <w:rPr/>
      <w:fldChar w:fldCharType="separate"/>
    </w:r>
    <w:r>
      <w:rPr/>
      <w:t>24</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SectionTitle"/>
      <w:rPr/>
    </w:pPr>
    <w:r>
      <w:rPr/>
      <w:fldChar w:fldCharType="begin"/>
    </w:r>
    <w:r>
      <w:rPr/>
      <w:instrText xml:space="preserve"> IF  "" ""</w:instrText>
    </w:r>
    <w:r>
      <w:rPr/>
      <w:fldChar w:fldCharType="separate"/>
    </w:r>
    <w:r>
      <w:rPr/>
    </w:r>
    <w:r>
      <w:rPr/>
      <w:fldChar w:fldCharType="end"/>
    </w:r>
    <w:r>
      <w:rPr/>
      <w:t>I.</w:t>
      <w:tab/>
      <w:t>Strategic Overview</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SectionTitle"/>
      <w:rPr/>
    </w:pPr>
    <w:r>
      <w:rPr/>
      <w:fldChar w:fldCharType="begin"/>
    </w:r>
    <w:r>
      <w:rPr/>
      <w:instrText xml:space="preserve"> IF  "" ""</w:instrText>
    </w:r>
    <w:r>
      <w:rPr/>
      <w:fldChar w:fldCharType="separate"/>
    </w:r>
    <w:r>
      <w:rPr/>
    </w:r>
    <w:r>
      <w:rPr/>
      <w:fldChar w:fldCharType="end"/>
    </w:r>
    <w:r>
      <w:rPr/>
      <w:t>I.</w:t>
      <w:tab/>
      <w:t>Strategic Overview</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SectionTitle"/>
      <w:rPr/>
    </w:pPr>
    <w:r>
      <w:rPr/>
      <w:fldChar w:fldCharType="begin"/>
    </w:r>
    <w:r>
      <w:rPr/>
      <w:instrText xml:space="preserve"> IF  "" ""</w:instrText>
    </w:r>
    <w:r>
      <w:rPr/>
      <w:fldChar w:fldCharType="separate"/>
    </w:r>
    <w:r>
      <w:rPr/>
    </w:r>
    <w:r>
      <w:rPr/>
      <w:fldChar w:fldCharType="end"/>
    </w:r>
    <w:r>
      <w:rPr/>
      <w:t>I.</w:t>
      <w:tab/>
      <w:t>Strategic Overview</w:t>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SectionTitle"/>
      <w:rPr/>
    </w:pPr>
    <w:r>
      <w:rPr/>
      <w:fldChar w:fldCharType="begin"/>
    </w:r>
    <w:r>
      <w:rPr/>
      <w:instrText xml:space="preserve"> IF  "" ""</w:instrText>
    </w:r>
    <w:r>
      <w:rPr/>
      <w:fldChar w:fldCharType="separate"/>
    </w:r>
    <w:r>
      <w:rPr/>
    </w:r>
    <w:r>
      <w:rPr/>
      <w:fldChar w:fldCharType="end"/>
    </w:r>
    <w:r>
      <w:rPr/>
      <w:t>I.</w:t>
      <w:tab/>
      <w:t>Strategic Overview</w:t>
    </w:r>
  </w:p>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SectionTitle"/>
      <w:rPr/>
    </w:pPr>
    <w:r>
      <w:rPr/>
      <w:t>V.</w:t>
      <w:tab/>
      <w:t>Power Distribution</w:t>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SectionTitle"/>
      <w:rPr/>
    </w:pPr>
    <w:r>
      <w:rPr/>
      <w:fldChar w:fldCharType="begin"/>
    </w:r>
    <w:r>
      <w:rPr/>
      <w:instrText xml:space="preserve"> IF  "" ""</w:instrText>
    </w:r>
    <w:r>
      <w:rPr/>
      <w:fldChar w:fldCharType="separate"/>
    </w:r>
    <w:r>
      <w:rPr/>
    </w:r>
    <w:r>
      <w:rPr/>
      <w:fldChar w:fldCharType="end"/>
    </w:r>
    <w:r>
      <w:rPr/>
      <w:t>I.</w:t>
      <w:tab/>
      <w:t>Strategic Overview</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Times New Roman" w:hAnsi="Times New Roman" w:cs="Times New Roman"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lowerLetter"/>
      <w:lvlText w:val="(%1)"/>
      <w:lvlJc w:val="start"/>
      <w:pPr>
        <w:tabs>
          <w:tab w:val="num" w:pos="360"/>
        </w:tabs>
        <w:ind w:start="360" w:hanging="360"/>
      </w:pPr>
    </w:lvl>
  </w:abstractNum>
  <w:abstractNum w:abstractNumId="5">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6">
    <w:lvl w:ilvl="0">
      <w:start w:val="1"/>
      <w:numFmt w:val="none"/>
      <w:suff w:val="nothing"/>
      <w:lvlText w:val="--"/>
      <w:lvlJc w:val="start"/>
      <w:pPr>
        <w:tabs>
          <w:tab w:val="num" w:pos="1440"/>
        </w:tabs>
        <w:ind w:start="1440" w:hanging="360"/>
      </w:pPr>
    </w:lvl>
  </w:abstractNum>
  <w:abstractNum w:abstractNumId="7">
    <w:lvl w:ilvl="0">
      <w:start w:val="1"/>
      <w:numFmt w:val="bullet"/>
      <w:lvlText w:val=""/>
      <w:lvlJc w:val="start"/>
      <w:pPr>
        <w:tabs>
          <w:tab w:val="num" w:pos="360"/>
        </w:tabs>
        <w:ind w:start="360" w:hanging="360"/>
      </w:pPr>
      <w:rPr>
        <w:rFonts w:ascii="Symbol" w:hAnsi="Symbol" w:cs="Symbol" w:hint="default"/>
        <w:color w:val="auto"/>
      </w:rPr>
    </w:lvl>
  </w:abstractNum>
  <w:abstractNum w:abstractNumId="8">
    <w:lvl w:ilvl="0">
      <w:start w:val="1"/>
      <w:numFmt w:val="none"/>
      <w:suff w:val="nothing"/>
      <w:lvlText w:val="--"/>
      <w:lvlJc w:val="start"/>
      <w:pPr>
        <w:tabs>
          <w:tab w:val="num" w:pos="360"/>
        </w:tabs>
        <w:ind w:start="360"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color w:val="auto"/>
      </w:rPr>
    </w:lvl>
  </w:abstractNum>
  <w:abstractNum w:abstractNumId="12">
    <w:lvl w:ilvl="0">
      <w:start w:val="1"/>
      <w:numFmt w:val="bullet"/>
      <w:lvlText w:val="•"/>
      <w:lvlJc w:val="start"/>
      <w:pPr>
        <w:tabs>
          <w:tab w:val="num" w:pos="360"/>
        </w:tabs>
        <w:ind w:start="360" w:hanging="360"/>
      </w:pPr>
      <w:rPr>
        <w:rFonts w:ascii="Times New Roman" w:hAnsi="Times New Roman" w:cs="Times New Roman" w:hint="default"/>
        <w:sz w:val="26"/>
      </w:rPr>
    </w:lvl>
  </w:abstractNum>
  <w:abstractNum w:abstractNumId="13">
    <w:lvl w:ilvl="0">
      <w:start w:val="1"/>
      <w:numFmt w:val="decimal"/>
      <w:lvlText w:val="%1."/>
      <w:lvlJc w:val="start"/>
      <w:pPr>
        <w:tabs>
          <w:tab w:val="num" w:pos="360"/>
        </w:tabs>
        <w:ind w:start="360" w:hanging="360"/>
      </w:p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16">
    <w:lvl w:ilvl="0">
      <w:start w:val="1"/>
      <w:numFmt w:val="decimal"/>
      <w:lvlText w:val="%1."/>
      <w:lvlJc w:val="start"/>
      <w:pPr>
        <w:tabs>
          <w:tab w:val="num" w:pos="360"/>
        </w:tabs>
        <w:ind w:start="360" w:hanging="360"/>
      </w:pPr>
    </w:lvl>
  </w:abstractNum>
  <w:abstractNum w:abstractNumId="17">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18">
    <w:lvl w:ilvl="0">
      <w:start w:val="1"/>
      <w:numFmt w:val="bullet"/>
      <w:lvlText w:val="–"/>
      <w:lvlJc w:val="start"/>
      <w:pPr>
        <w:tabs>
          <w:tab w:val="num" w:pos="720"/>
        </w:tabs>
        <w:ind w:start="720" w:hanging="360"/>
      </w:pPr>
      <w:rPr>
        <w:rFonts w:ascii="Times New Roman" w:hAnsi="Times New Roman" w:cs="Times New Roman"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none"/>
      <w:suff w:val="nothing"/>
      <w:lvlText w:val="--"/>
      <w:lvlJc w:val="start"/>
      <w:pPr>
        <w:tabs>
          <w:tab w:val="num" w:pos="360"/>
        </w:tabs>
        <w:ind w:start="360" w:hanging="360"/>
      </w:pPr>
    </w:lvl>
  </w:abstractNum>
  <w:abstractNum w:abstractNumId="21">
    <w:lvl w:ilvl="0">
      <w:start w:val="1"/>
      <w:numFmt w:val="bullet"/>
      <w:lvlText w:val=""/>
      <w:lvlJc w:val="start"/>
      <w:pPr>
        <w:tabs>
          <w:tab w:val="num" w:pos="2325"/>
        </w:tabs>
        <w:ind w:start="2325" w:hanging="624"/>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100"/>
  <w:revisionView w:insDel="0" w:formatting="0"/>
  <w:defaultTabStop w:val="360"/>
  <w:autoHyphenation w:val="true"/>
  <w:hyphenationZone w:val="0"/>
  <w:compat>
    <w:doNotExpandShiftReturn/>
    <w:compatSetting w:name="compatibilityMode" w:uri="http://schemas.microsoft.com/office/word" w:val="11"/>
  </w:compat>
  <w:docVars>
    <w:docVar w:name="ShowMSDWToolbar" w:val="Yes"/>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pBdr>
        <w:top w:val="single" w:sz="18" w:space="1" w:color="000000"/>
        <w:bottom w:val="single" w:sz="18" w:space="1" w:color="000000"/>
      </w:pBdr>
      <w:ind w:hanging="0" w:start="3600" w:end="0"/>
      <w:jc w:val="center"/>
      <w:outlineLvl w:val="0"/>
    </w:pPr>
    <w:rPr>
      <w:b/>
      <w:sz w:val="34"/>
      <w:lang w:eastAsia="en-US"/>
    </w:rPr>
  </w:style>
  <w:style w:type="paragraph" w:styleId="Heading2">
    <w:name w:val="heading 2"/>
    <w:basedOn w:val="Normal"/>
    <w:next w:val="Normal"/>
    <w:qFormat/>
    <w:pPr>
      <w:keepNext w:val="true"/>
      <w:numPr>
        <w:ilvl w:val="1"/>
        <w:numId w:val="1"/>
      </w:numPr>
      <w:jc w:val="center"/>
      <w:outlineLvl w:val="1"/>
    </w:pPr>
    <w:rPr>
      <w:sz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jc w:val="center"/>
      <w:outlineLvl w:val="3"/>
    </w:pPr>
    <w:rPr>
      <w:sz w:val="28"/>
    </w:rPr>
  </w:style>
  <w:style w:type="paragraph" w:styleId="Heading5">
    <w:name w:val="heading 5"/>
    <w:basedOn w:val="Normal"/>
    <w:next w:val="Normal"/>
    <w:qFormat/>
    <w:pPr>
      <w:keepNext w:val="true"/>
      <w:numPr>
        <w:ilvl w:val="4"/>
        <w:numId w:val="1"/>
      </w:numPr>
      <w:jc w:val="center"/>
      <w:outlineLvl w:val="4"/>
    </w:pPr>
    <w:rPr>
      <w:color w:val="FFFFFF"/>
      <w:sz w:val="28"/>
    </w:rPr>
  </w:style>
  <w:style w:type="paragraph" w:styleId="Heading6">
    <w:name w:val="heading 6"/>
    <w:basedOn w:val="Normal"/>
    <w:next w:val="Normal"/>
    <w:qFormat/>
    <w:pPr>
      <w:keepNext w:val="true"/>
      <w:keepLines/>
      <w:numPr>
        <w:ilvl w:val="5"/>
        <w:numId w:val="1"/>
      </w:numPr>
      <w:spacing w:lineRule="auto" w:line="300" w:before="0" w:after="110"/>
      <w:jc w:val="both"/>
      <w:outlineLvl w:val="5"/>
    </w:pPr>
    <w:rPr>
      <w:b/>
      <w:u w:val="single"/>
    </w:rPr>
  </w:style>
  <w:style w:type="paragraph" w:styleId="Heading7">
    <w:name w:val="heading 7"/>
    <w:basedOn w:val="Normal"/>
    <w:next w:val="Normal"/>
    <w:qFormat/>
    <w:pPr>
      <w:keepNext w:val="true"/>
      <w:numPr>
        <w:ilvl w:val="6"/>
        <w:numId w:val="1"/>
      </w:numPr>
      <w:jc w:val="center"/>
      <w:outlineLvl w:val="6"/>
    </w:pPr>
    <w:rPr>
      <w:b/>
      <w:color w:val="000000"/>
      <w:sz w:val="24"/>
    </w:rPr>
  </w:style>
  <w:style w:type="paragraph" w:styleId="Heading8">
    <w:name w:val="heading 8"/>
    <w:basedOn w:val="Normal"/>
    <w:next w:val="Normal"/>
    <w:qFormat/>
    <w:pPr>
      <w:keepNext w:val="true"/>
      <w:numPr>
        <w:ilvl w:val="7"/>
        <w:numId w:val="1"/>
      </w:numPr>
      <w:jc w:val="center"/>
      <w:outlineLvl w:val="7"/>
    </w:pPr>
    <w:rPr>
      <w:b/>
      <w:color w:val="FFFFFF"/>
      <w:sz w:val="36"/>
      <w:lang w:eastAsia="en-US"/>
    </w:rPr>
  </w:style>
  <w:style w:type="paragraph" w:styleId="Heading9">
    <w:name w:val="heading 9"/>
    <w:basedOn w:val="Normal"/>
    <w:next w:val="Normal"/>
    <w:qFormat/>
    <w:pPr>
      <w:keepNext w:val="true"/>
      <w:numPr>
        <w:ilvl w:val="8"/>
        <w:numId w:val="1"/>
      </w:numPr>
      <w:outlineLvl w:val="8"/>
    </w:pPr>
    <w:rPr>
      <w:color w:val="FFFFFF"/>
      <w:sz w:val="36"/>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Times New Roman" w:hAnsi="Times New Roman" w:cs="Times New Roman"/>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3z0">
    <w:name w:val="WW8Num33z0"/>
    <w:qFormat/>
    <w:rPr>
      <w:rFonts w:ascii="Symbol" w:hAnsi="Symbol" w:cs="Symbol"/>
    </w:rPr>
  </w:style>
  <w:style w:type="character" w:styleId="WW8Num35z0">
    <w:name w:val="WW8Num35z0"/>
    <w:qFormat/>
    <w:rPr/>
  </w:style>
  <w:style w:type="character" w:styleId="WW8Num36z0">
    <w:name w:val="WW8Num36z0"/>
    <w:qFormat/>
    <w:rPr>
      <w:rFonts w:ascii="Helvetica-Narrow" w:hAnsi="Helvetica-Narrow" w:cs="Helvetica-Narrow"/>
      <w:b w:val="false"/>
      <w:i w:val="false"/>
      <w:sz w:val="16"/>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style>
  <w:style w:type="character" w:styleId="WW8Num45z0">
    <w:name w:val="WW8Num45z0"/>
    <w:qFormat/>
    <w:rPr>
      <w:rFonts w:ascii="Symbol" w:hAnsi="Symbol" w:cs="Symbol"/>
    </w:rPr>
  </w:style>
  <w:style w:type="character" w:styleId="WW8Num46z0">
    <w:name w:val="WW8Num46z0"/>
    <w:qFormat/>
    <w:rPr>
      <w:rFonts w:ascii="Symbol" w:hAnsi="Symbol" w:cs="Symbol"/>
      <w:color w:val="auto"/>
      <w:sz w:val="28"/>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Times New Roman" w:hAnsi="Times New Roman" w:cs="Times New Roman"/>
    </w:rPr>
  </w:style>
  <w:style w:type="character" w:styleId="WW8Num52z0">
    <w:name w:val="WW8Num52z0"/>
    <w:qFormat/>
    <w:rPr>
      <w:rFonts w:ascii="Times New Roman" w:hAnsi="Times New Roman" w:cs="Times New Roman"/>
    </w:rPr>
  </w:style>
  <w:style w:type="character" w:styleId="WW8Num53z0">
    <w:name w:val="WW8Num53z0"/>
    <w:qFormat/>
    <w:rPr>
      <w:rFonts w:ascii="Times New Roman" w:hAnsi="Times New Roman" w:cs="Times New Roman"/>
      <w:color w:val="auto"/>
      <w:sz w:val="26"/>
    </w:rPr>
  </w:style>
  <w:style w:type="character" w:styleId="WW8Num54z0">
    <w:name w:val="WW8Num54z0"/>
    <w:qFormat/>
    <w:rPr>
      <w:rFonts w:ascii="Times New Roman" w:hAnsi="Times New Roman" w:cs="Times New Roman"/>
      <w:sz w:val="26"/>
    </w:rPr>
  </w:style>
  <w:style w:type="character" w:styleId="WW8Num55z0">
    <w:name w:val="WW8Num55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abon" w:hAnsi="Sabon" w:cs="Sabon"/>
      <w:b w:val="false"/>
      <w:i w:val="false"/>
      <w:sz w:val="14"/>
      <w:u w:val="none"/>
    </w:rPr>
  </w:style>
  <w:style w:type="character" w:styleId="WW8Num59z0">
    <w:name w:val="WW8Num59z0"/>
    <w:qFormat/>
    <w:rPr>
      <w:rFonts w:ascii="Symbol" w:hAnsi="Symbol" w:cs="Symbol"/>
    </w:rPr>
  </w:style>
  <w:style w:type="character" w:styleId="WW8Num60z0">
    <w:name w:val="WW8Num60z0"/>
    <w:qFormat/>
    <w:rPr>
      <w:rFonts w:ascii="Symbol" w:hAnsi="Symbol" w:cs="Symbol"/>
      <w:color w:val="auto"/>
    </w:rPr>
  </w:style>
  <w:style w:type="character" w:styleId="WW8Num61z0">
    <w:name w:val="WW8Num61z0"/>
    <w:qFormat/>
    <w:rPr>
      <w:rFonts w:ascii="Symbol" w:hAnsi="Symbol" w:cs="Symbol"/>
    </w:rPr>
  </w:style>
  <w:style w:type="character" w:styleId="WW8Num62z0">
    <w:name w:val="WW8Num62z0"/>
    <w:qFormat/>
    <w:rPr>
      <w:rFonts w:ascii="Wingdings" w:hAnsi="Wingdings" w:cs="Wingdings"/>
    </w:rPr>
  </w:style>
  <w:style w:type="character" w:styleId="WW8Num63z0">
    <w:name w:val="WW8Num63z0"/>
    <w:qFormat/>
    <w:rPr/>
  </w:style>
  <w:style w:type="character" w:styleId="WW8Num64z0">
    <w:name w:val="WW8Num64z0"/>
    <w:qFormat/>
    <w:rPr>
      <w:rFonts w:ascii="Symbol" w:hAnsi="Symbol" w:cs="Symbol"/>
    </w:rPr>
  </w:style>
  <w:style w:type="character" w:styleId="WW8Num66z0">
    <w:name w:val="WW8Num66z0"/>
    <w:qFormat/>
    <w:rPr>
      <w:rFonts w:ascii="Times New Roman" w:hAnsi="Times New Roman" w:cs="Times New Roman"/>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Times New Roman" w:hAnsi="Times New Roman" w:cs="Times New Roman"/>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4z0">
    <w:name w:val="WW8Num74z0"/>
    <w:qFormat/>
    <w:rPr>
      <w:rFonts w:ascii="Symbol" w:hAnsi="Symbol" w:cs="Symbol"/>
      <w:color w:val="auto"/>
    </w:rPr>
  </w:style>
  <w:style w:type="character" w:styleId="WW8Num75z0">
    <w:name w:val="WW8Num75z0"/>
    <w:qFormat/>
    <w:rPr/>
  </w:style>
  <w:style w:type="character" w:styleId="WW8Num76z0">
    <w:name w:val="WW8Num76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Times New Roman" w:hAnsi="Times New Roman" w:cs="Times New Roman"/>
      <w:sz w:val="26"/>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abon" w:hAnsi="Sabon" w:cs="Sabon"/>
      <w:b w:val="false"/>
      <w:i w:val="false"/>
      <w:sz w:val="14"/>
      <w:u w:val="none"/>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Times New Roman" w:hAnsi="Times New Roman" w:cs="Times New Roman"/>
    </w:rPr>
  </w:style>
  <w:style w:type="character" w:styleId="WW8Num92z0">
    <w:name w:val="WW8Num92z0"/>
    <w:qFormat/>
    <w:rPr/>
  </w:style>
  <w:style w:type="character" w:styleId="WW8Num93z0">
    <w:name w:val="WW8Num93z0"/>
    <w:qFormat/>
    <w:rPr/>
  </w:style>
  <w:style w:type="character" w:styleId="WW8Num94z0">
    <w:name w:val="WW8Num94z0"/>
    <w:qFormat/>
    <w:rPr>
      <w:rFonts w:ascii="Symbol" w:hAnsi="Symbol" w:cs="Symbol"/>
    </w:rPr>
  </w:style>
  <w:style w:type="character" w:styleId="WW8Num95z0">
    <w:name w:val="WW8Num95z0"/>
    <w:qFormat/>
    <w:rPr/>
  </w:style>
  <w:style w:type="character" w:styleId="WW8Num96z0">
    <w:name w:val="WW8Num96z0"/>
    <w:qFormat/>
    <w:rPr>
      <w:rFonts w:ascii="Symbol" w:hAnsi="Symbol" w:cs="Symbol"/>
    </w:rPr>
  </w:style>
  <w:style w:type="character" w:styleId="WW8Num97z0">
    <w:name w:val="WW8Num97z0"/>
    <w:qFormat/>
    <w:rPr/>
  </w:style>
  <w:style w:type="character" w:styleId="WW8Num98z0">
    <w:name w:val="WW8Num98z0"/>
    <w:qFormat/>
    <w:rPr>
      <w:rFonts w:ascii="Times New Roman" w:hAnsi="Times New Roman" w:cs="Times New Roman"/>
    </w:rPr>
  </w:style>
  <w:style w:type="character" w:styleId="WW8Num99z0">
    <w:name w:val="WW8Num99z0"/>
    <w:qFormat/>
    <w:rPr>
      <w:rFonts w:ascii="Symbol" w:hAnsi="Symbol" w:cs="Symbol"/>
    </w:rPr>
  </w:style>
  <w:style w:type="character" w:styleId="WW8Num100z0">
    <w:name w:val="WW8Num100z0"/>
    <w:qFormat/>
    <w:rPr>
      <w:rFonts w:ascii="Times New Roman" w:hAnsi="Times New Roman" w:cs="Times New Roman"/>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5z0">
    <w:name w:val="WW8Num105z0"/>
    <w:qFormat/>
    <w:rPr>
      <w:rFonts w:ascii="Symbol" w:hAnsi="Symbol" w:cs="Symbol"/>
    </w:rPr>
  </w:style>
  <w:style w:type="character" w:styleId="WW8Num107z0">
    <w:name w:val="WW8Num107z0"/>
    <w:qFormat/>
    <w:rPr>
      <w:rFonts w:ascii="Times New Roman" w:hAnsi="Times New Roman" w:cs="Times New Roman"/>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Times New Roman" w:hAnsi="Times New Roman" w:cs="Times New Roman"/>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abon" w:hAnsi="Sabon" w:cs="Sabon"/>
      <w:b w:val="false"/>
      <w:i w:val="false"/>
      <w:sz w:val="14"/>
      <w:u w:val="none"/>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color w:val="auto"/>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color w:val="auto"/>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color w:val="auto"/>
      <w:sz w:val="28"/>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abon" w:hAnsi="Sabon" w:cs="Sabon"/>
      <w:b w:val="false"/>
      <w:i w:val="false"/>
      <w:sz w:val="14"/>
      <w:u w:val="none"/>
    </w:rPr>
  </w:style>
  <w:style w:type="character" w:styleId="WW8Num147z0">
    <w:name w:val="WW8Num147z0"/>
    <w:qFormat/>
    <w:rPr>
      <w:rFonts w:ascii="Symbol" w:hAnsi="Symbol" w:cs="Symbol"/>
    </w:rPr>
  </w:style>
  <w:style w:type="character" w:styleId="WW8Num148z0">
    <w:name w:val="WW8Num148z0"/>
    <w:qFormat/>
    <w:rPr>
      <w:rFonts w:ascii="Times New Roman" w:hAnsi="Times New Roman" w:cs="Times New Roman"/>
    </w:rPr>
  </w:style>
  <w:style w:type="character" w:styleId="WW8Num149z0">
    <w:name w:val="WW8Num149z0"/>
    <w:qFormat/>
    <w:rPr>
      <w:rFonts w:ascii="Symbol" w:hAnsi="Symbol" w:cs="Symbol"/>
    </w:rPr>
  </w:style>
  <w:style w:type="character" w:styleId="WW8Num150z0">
    <w:name w:val="WW8Num150z0"/>
    <w:qFormat/>
    <w:rPr>
      <w:rFonts w:ascii="Times New Roman" w:hAnsi="Times New Roman" w:cs="Times New Roman"/>
    </w:rPr>
  </w:style>
  <w:style w:type="character" w:styleId="WW8Num151z0">
    <w:name w:val="WW8Num151z0"/>
    <w:qFormat/>
    <w:rPr>
      <w:rFonts w:ascii="Symbol" w:hAnsi="Symbol" w:cs="Symbol"/>
    </w:rPr>
  </w:style>
  <w:style w:type="character" w:styleId="WW8Num152z0">
    <w:name w:val="WW8Num152z0"/>
    <w:qFormat/>
    <w:rPr>
      <w:rFonts w:ascii="Symbol" w:hAnsi="Symbol" w:cs="Symbol"/>
      <w:color w:val="auto"/>
    </w:rPr>
  </w:style>
  <w:style w:type="character" w:styleId="WW8Num153z0">
    <w:name w:val="WW8Num153z0"/>
    <w:qFormat/>
    <w:rPr>
      <w:rFonts w:ascii="Symbol" w:hAnsi="Symbol" w:cs="Symbol"/>
    </w:rPr>
  </w:style>
  <w:style w:type="character" w:styleId="WW8Num154z0">
    <w:name w:val="WW8Num154z0"/>
    <w:qFormat/>
    <w:rPr>
      <w:rFonts w:ascii="Sabon" w:hAnsi="Sabon" w:cs="Sabon"/>
      <w:b w:val="false"/>
      <w:i w:val="false"/>
      <w:sz w:val="14"/>
      <w:u w:val="none"/>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sz w:val="22"/>
    </w:rPr>
  </w:style>
  <w:style w:type="character" w:styleId="WW8Num162z0">
    <w:name w:val="WW8Num162z0"/>
    <w:qFormat/>
    <w:rPr>
      <w:b/>
      <w:i w:val="false"/>
    </w:rPr>
  </w:style>
  <w:style w:type="character" w:styleId="WW8Num163z0">
    <w:name w:val="WW8Num163z0"/>
    <w:qFormat/>
    <w:rPr>
      <w:rFonts w:ascii="Symbol" w:hAnsi="Symbol" w:cs="Symbol"/>
    </w:rPr>
  </w:style>
  <w:style w:type="character" w:styleId="WW8Num164z0">
    <w:name w:val="WW8Num164z0"/>
    <w:qFormat/>
    <w:rPr>
      <w:rFonts w:ascii="Times New Roman" w:hAnsi="Times New Roman" w:cs="Times New Roman"/>
    </w:rPr>
  </w:style>
  <w:style w:type="character" w:styleId="WW8Num165z0">
    <w:name w:val="WW8Num165z0"/>
    <w:qFormat/>
    <w:rPr>
      <w:rFonts w:ascii="Symbol" w:hAnsi="Symbol" w:cs="Symbol"/>
    </w:rPr>
  </w:style>
  <w:style w:type="character" w:styleId="WW8NumSt69z0">
    <w:name w:val="WW8NumSt69z0"/>
    <w:qFormat/>
    <w:rPr>
      <w:rFonts w:ascii="Courier New" w:hAnsi="Courier New" w:cs="Courier New"/>
    </w:rPr>
  </w:style>
  <w:style w:type="character" w:styleId="WW8NumSt133z0">
    <w:name w:val="WW8NumSt133z0"/>
    <w:qFormat/>
    <w:rPr>
      <w:rFonts w:ascii="Symbol" w:hAnsi="Symbol" w:cs="Symbol"/>
    </w:rPr>
  </w:style>
  <w:style w:type="character" w:styleId="WW8NumSt139z0">
    <w:name w:val="WW8NumSt139z0"/>
    <w:qFormat/>
    <w:rPr>
      <w:rFonts w:ascii="Times New Roman" w:hAnsi="Times New Roman" w:cs="Times New Roman"/>
      <w:sz w:val="14"/>
    </w:rPr>
  </w:style>
  <w:style w:type="character" w:styleId="WW8NumSt143z0">
    <w:name w:val="WW8NumSt143z0"/>
    <w:qFormat/>
    <w:rPr>
      <w:rFonts w:ascii="ZapfDingbats" w:hAnsi="ZapfDingbats" w:cs="ZapfDingbats"/>
      <w:color w:val="000000"/>
      <w:sz w:val="16"/>
    </w:rPr>
  </w:style>
  <w:style w:type="character" w:styleId="DefaultParagraphFont">
    <w:name w:val="Default Paragraph Font"/>
    <w:qFormat/>
    <w:rPr/>
  </w:style>
  <w:style w:type="character" w:styleId="bold">
    <w:name w:val="bold"/>
    <w:qFormat/>
    <w:rPr>
      <w:b/>
    </w:rPr>
  </w:style>
  <w:style w:type="character" w:styleId="boldital">
    <w:name w:val="bold ital"/>
    <w:qFormat/>
    <w:rPr>
      <w:b/>
      <w:i/>
    </w:rPr>
  </w:style>
  <w:style w:type="character" w:styleId="bolditalund">
    <w:name w:val="bold ital und"/>
    <w:qFormat/>
    <w:rPr>
      <w:b/>
      <w:i/>
      <w:u w:val="single"/>
    </w:rPr>
  </w:style>
  <w:style w:type="character" w:styleId="boldund">
    <w:name w:val="bold und"/>
    <w:qFormat/>
    <w:rPr>
      <w:b/>
      <w:u w:val="single"/>
    </w:rPr>
  </w:style>
  <w:style w:type="character" w:styleId="doubleund">
    <w:name w:val="double und"/>
    <w:qFormat/>
    <w:rPr>
      <w:u w:val="double"/>
    </w:rPr>
  </w:style>
  <w:style w:type="character" w:styleId="ital">
    <w:name w:val="ital"/>
    <w:qFormat/>
    <w:rPr>
      <w:i/>
    </w:rPr>
  </w:style>
  <w:style w:type="character" w:styleId="italund">
    <w:name w:val="ital und"/>
    <w:qFormat/>
    <w:rPr>
      <w:i/>
      <w:u w:val="single"/>
    </w:rPr>
  </w:style>
  <w:style w:type="character" w:styleId="und">
    <w:name w:val="und"/>
    <w:qFormat/>
    <w:rPr>
      <w:u w:val="single"/>
    </w:rPr>
  </w:style>
  <w:style w:type="character" w:styleId="hidden">
    <w:name w:val="hidden"/>
    <w:basedOn w:val="DefaultParagraphFont"/>
    <w:qFormat/>
    <w:rPr>
      <w:vanish/>
      <w:color w:val="FF00FF"/>
      <w:sz w:val="12"/>
    </w:rPr>
  </w:style>
  <w:style w:type="character" w:styleId="superscript">
    <w:name w:val="superscript"/>
    <w:qFormat/>
    <w:rPr>
      <w:vertAlign w:val="superscript"/>
    </w:rPr>
  </w:style>
  <w:style w:type="character" w:styleId="FootnoteCharacters">
    <w:name w:val="Footnote Characters"/>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med">
    <w:name w:val="Normal/med"/>
    <w:basedOn w:val="Normal"/>
    <w:qFormat/>
    <w:pPr>
      <w:jc w:val="both"/>
    </w:pPr>
    <w:rPr/>
  </w:style>
  <w:style w:type="paragraph" w:styleId="Bmed1st0">
    <w:name w:val="B/med/1st/0"/>
    <w:basedOn w:val="Normalmed"/>
    <w:qFormat/>
    <w:pPr>
      <w:numPr>
        <w:ilvl w:val="0"/>
        <w:numId w:val="14"/>
      </w:numPr>
    </w:pPr>
    <w:rPr/>
  </w:style>
  <w:style w:type="paragraph" w:styleId="Bmed1st1">
    <w:name w:val="B/med/1st/1"/>
    <w:basedOn w:val="Bmed1st0"/>
    <w:qFormat/>
    <w:pPr>
      <w:numPr>
        <w:ilvl w:val="0"/>
        <w:numId w:val="23"/>
      </w:numPr>
      <w:spacing w:before="0" w:after="220"/>
    </w:pPr>
    <w:rPr/>
  </w:style>
  <w:style w:type="paragraph" w:styleId="Bmed1st5">
    <w:name w:val="B/med/1st/.5"/>
    <w:basedOn w:val="Bmed1st0"/>
    <w:qFormat/>
    <w:pPr>
      <w:numPr>
        <w:ilvl w:val="0"/>
        <w:numId w:val="0"/>
      </w:numPr>
      <w:spacing w:before="0" w:after="110"/>
      <w:ind w:hanging="0" w:start="0" w:end="0"/>
    </w:pPr>
    <w:rPr/>
  </w:style>
  <w:style w:type="paragraph" w:styleId="Bmed2nd0">
    <w:name w:val="B/med/2nd/0"/>
    <w:basedOn w:val="Normalmed"/>
    <w:qFormat/>
    <w:pPr>
      <w:numPr>
        <w:ilvl w:val="0"/>
        <w:numId w:val="17"/>
      </w:numPr>
      <w:ind w:hanging="0" w:start="720" w:end="0"/>
    </w:pPr>
    <w:rPr/>
  </w:style>
  <w:style w:type="paragraph" w:styleId="Bmed2nd1">
    <w:name w:val="B/med/2nd/1"/>
    <w:basedOn w:val="Bmed2nd0"/>
    <w:qFormat/>
    <w:pPr>
      <w:spacing w:before="0" w:after="220"/>
    </w:pPr>
    <w:rPr/>
  </w:style>
  <w:style w:type="paragraph" w:styleId="Bmed2nd5">
    <w:name w:val="B/med/2nd/.5"/>
    <w:basedOn w:val="Bmed2nd0"/>
    <w:qFormat/>
    <w:pPr>
      <w:spacing w:before="0" w:after="110"/>
    </w:pPr>
    <w:rPr/>
  </w:style>
  <w:style w:type="paragraph" w:styleId="Normalsm">
    <w:name w:val="Normal/sm"/>
    <w:basedOn w:val="Normal"/>
    <w:qFormat/>
    <w:pPr>
      <w:jc w:val="both"/>
    </w:pPr>
    <w:rPr>
      <w:sz w:val="20"/>
    </w:rPr>
  </w:style>
  <w:style w:type="paragraph" w:styleId="Bsm1st0">
    <w:name w:val="B/sm/1st/0"/>
    <w:basedOn w:val="Normalsm"/>
    <w:qFormat/>
    <w:pPr>
      <w:numPr>
        <w:ilvl w:val="0"/>
        <w:numId w:val="11"/>
      </w:numPr>
    </w:pPr>
    <w:rPr/>
  </w:style>
  <w:style w:type="paragraph" w:styleId="Bsm1st1">
    <w:name w:val="B/sm/1st/1"/>
    <w:basedOn w:val="Bsm1st0"/>
    <w:qFormat/>
    <w:pPr>
      <w:spacing w:before="0" w:after="200"/>
    </w:pPr>
    <w:rPr/>
  </w:style>
  <w:style w:type="paragraph" w:styleId="Bsm1st5">
    <w:name w:val="B/sm/1st/.5"/>
    <w:basedOn w:val="Bsm1st0"/>
    <w:qFormat/>
    <w:pPr>
      <w:spacing w:before="0" w:after="100"/>
    </w:pPr>
    <w:rPr/>
  </w:style>
  <w:style w:type="paragraph" w:styleId="BLKmed1st0">
    <w:name w:val="BLK/med/1st/0"/>
    <w:basedOn w:val="Normalmed"/>
    <w:qFormat/>
    <w:pPr>
      <w:spacing w:lineRule="auto" w:line="300"/>
    </w:pPr>
    <w:rPr/>
  </w:style>
  <w:style w:type="paragraph" w:styleId="BLKmed1st1">
    <w:name w:val="BLK/med/1st/1"/>
    <w:basedOn w:val="BLKmed1st0"/>
    <w:qFormat/>
    <w:pPr>
      <w:spacing w:before="0" w:after="220"/>
    </w:pPr>
    <w:rPr/>
  </w:style>
  <w:style w:type="paragraph" w:styleId="BLKmed1st5">
    <w:name w:val="BLK/med/1st/.5"/>
    <w:basedOn w:val="BLKmed1st0"/>
    <w:qFormat/>
    <w:pPr>
      <w:spacing w:before="0" w:after="110"/>
    </w:pPr>
    <w:rPr/>
  </w:style>
  <w:style w:type="paragraph" w:styleId="BLKsm1st0">
    <w:name w:val="BLK/sm/1st/0"/>
    <w:basedOn w:val="Normalsm"/>
    <w:qFormat/>
    <w:pPr>
      <w:spacing w:lineRule="auto" w:line="300"/>
    </w:pPr>
    <w:rPr/>
  </w:style>
  <w:style w:type="paragraph" w:styleId="BLKsm1st1">
    <w:name w:val="BLK/sm/1st/1"/>
    <w:basedOn w:val="BLKsm1st0"/>
    <w:qFormat/>
    <w:pPr>
      <w:spacing w:before="0" w:after="200"/>
    </w:pPr>
    <w:rPr/>
  </w:style>
  <w:style w:type="paragraph" w:styleId="BLKsm1st5">
    <w:name w:val="BLK/sm/1st/.5"/>
    <w:basedOn w:val="BLKsm1st0"/>
    <w:qFormat/>
    <w:pPr>
      <w:spacing w:before="0" w:after="100"/>
    </w:pPr>
    <w:rPr/>
  </w:style>
  <w:style w:type="paragraph" w:styleId="BLKmed2nd0">
    <w:name w:val="BLK/med/2nd/0"/>
    <w:basedOn w:val="Normalmed"/>
    <w:qFormat/>
    <w:pPr>
      <w:spacing w:lineRule="auto" w:line="300"/>
      <w:ind w:hanging="0" w:start="360" w:end="0"/>
    </w:pPr>
    <w:rPr/>
  </w:style>
  <w:style w:type="paragraph" w:styleId="BLKmed2nd5">
    <w:name w:val="BLK/med/2nd/.5"/>
    <w:basedOn w:val="BLKmed2nd0"/>
    <w:qFormat/>
    <w:pPr>
      <w:spacing w:before="0" w:after="110"/>
    </w:pPr>
    <w:rPr/>
  </w:style>
  <w:style w:type="paragraph" w:styleId="BLKmed2nd1">
    <w:name w:val="BLK/med/2nd/1"/>
    <w:basedOn w:val="BLKmed2nd0"/>
    <w:qFormat/>
    <w:pPr>
      <w:spacing w:before="0" w:after="220"/>
    </w:pPr>
    <w:rPr/>
  </w:style>
  <w:style w:type="paragraph" w:styleId="BLKsm2nd0">
    <w:name w:val="BLK/sm/2nd/0"/>
    <w:basedOn w:val="Normalsm"/>
    <w:qFormat/>
    <w:pPr>
      <w:spacing w:lineRule="auto" w:line="300"/>
      <w:ind w:hanging="0" w:start="360" w:end="0"/>
    </w:pPr>
    <w:rPr/>
  </w:style>
  <w:style w:type="paragraph" w:styleId="BLKsm2nd5">
    <w:name w:val="BLK/sm/2nd/.5"/>
    <w:basedOn w:val="BLKsm2nd0"/>
    <w:qFormat/>
    <w:pPr>
      <w:spacing w:before="0" w:after="100"/>
    </w:pPr>
    <w:rPr/>
  </w:style>
  <w:style w:type="paragraph" w:styleId="BLKsm2nd1">
    <w:name w:val="BLK/sm/2nd/1"/>
    <w:basedOn w:val="BLKsm2nd0"/>
    <w:qFormat/>
    <w:pPr>
      <w:spacing w:before="0" w:after="200"/>
    </w:pPr>
    <w:rPr/>
  </w:style>
  <w:style w:type="paragraph" w:styleId="Bsm3rd0">
    <w:name w:val="B/sm/3rd/0"/>
    <w:basedOn w:val="Normalsm"/>
    <w:qFormat/>
    <w:pPr>
      <w:numPr>
        <w:ilvl w:val="0"/>
        <w:numId w:val="5"/>
      </w:numPr>
      <w:ind w:hanging="0" w:start="1080" w:end="0"/>
    </w:pPr>
    <w:rPr/>
  </w:style>
  <w:style w:type="paragraph" w:styleId="Bsm3rd5">
    <w:name w:val="B/sm/3rd/.5"/>
    <w:basedOn w:val="Bsm3rd0"/>
    <w:qFormat/>
    <w:pPr>
      <w:spacing w:before="0" w:after="100"/>
    </w:pPr>
    <w:rPr/>
  </w:style>
  <w:style w:type="paragraph" w:styleId="Bmed3rd0">
    <w:name w:val="B/med/3rd/0"/>
    <w:basedOn w:val="Normalmed"/>
    <w:qFormat/>
    <w:pPr>
      <w:numPr>
        <w:ilvl w:val="0"/>
        <w:numId w:val="12"/>
      </w:numPr>
      <w:ind w:hanging="0" w:start="1080" w:end="0"/>
    </w:pPr>
    <w:rPr/>
  </w:style>
  <w:style w:type="paragraph" w:styleId="Bmed3rd5">
    <w:name w:val="B/med/3rd/.5"/>
    <w:basedOn w:val="Bmed3rd0"/>
    <w:qFormat/>
    <w:pPr>
      <w:spacing w:before="0" w:after="110"/>
    </w:pPr>
    <w:rPr/>
  </w:style>
  <w:style w:type="paragraph" w:styleId="Bmed4th0">
    <w:name w:val="B/med/4th/0"/>
    <w:basedOn w:val="Normalmed"/>
    <w:qFormat/>
    <w:pPr>
      <w:numPr>
        <w:ilvl w:val="0"/>
        <w:numId w:val="20"/>
      </w:numPr>
      <w:ind w:hanging="0" w:start="1440" w:end="0"/>
    </w:pPr>
    <w:rPr/>
  </w:style>
  <w:style w:type="paragraph" w:styleId="Bmed4th5">
    <w:name w:val="B/med/4th/.5"/>
    <w:basedOn w:val="Bmed4th0"/>
    <w:qFormat/>
    <w:pPr>
      <w:spacing w:before="0" w:after="110"/>
    </w:pPr>
    <w:rPr/>
  </w:style>
  <w:style w:type="paragraph" w:styleId="Bmed4th1">
    <w:name w:val="B/med/4th/1"/>
    <w:basedOn w:val="Bmed4th0"/>
    <w:qFormat/>
    <w:pPr>
      <w:spacing w:before="0" w:after="220"/>
    </w:pPr>
    <w:rPr/>
  </w:style>
  <w:style w:type="paragraph" w:styleId="FootnoteText">
    <w:name w:val="footnote text"/>
    <w:basedOn w:val="Normal"/>
    <w:pPr>
      <w:jc w:val="both"/>
    </w:pPr>
    <w:rPr>
      <w:sz w:val="20"/>
    </w:rPr>
  </w:style>
  <w:style w:type="paragraph" w:styleId="FN10">
    <w:name w:val="FN10"/>
    <w:basedOn w:val="FootnoteText"/>
    <w:qFormat/>
    <w:pPr>
      <w:tabs>
        <w:tab w:val="clear" w:pos="360"/>
        <w:tab w:val="left" w:pos="706" w:leader="none"/>
      </w:tabs>
      <w:ind w:hanging="1166" w:start="1166" w:end="0"/>
    </w:pPr>
    <w:rPr/>
  </w:style>
  <w:style w:type="paragraph" w:styleId="FN8">
    <w:name w:val="FN8"/>
    <w:basedOn w:val="FootnoteText"/>
    <w:qFormat/>
    <w:pPr>
      <w:tabs>
        <w:tab w:val="clear" w:pos="360"/>
        <w:tab w:val="left" w:pos="605" w:leader="none"/>
      </w:tabs>
      <w:ind w:hanging="936" w:start="936" w:end="0"/>
    </w:pPr>
    <w:rPr>
      <w:sz w:val="16"/>
    </w:rPr>
  </w:style>
  <w:style w:type="paragraph" w:styleId="FN12">
    <w:name w:val="FN12"/>
    <w:basedOn w:val="FootnoteText"/>
    <w:qFormat/>
    <w:pPr>
      <w:tabs>
        <w:tab w:val="clear" w:pos="360"/>
        <w:tab w:val="left" w:pos="907" w:leader="none"/>
      </w:tabs>
      <w:ind w:hanging="1354" w:start="1354" w:end="0"/>
    </w:pPr>
    <w:rPr>
      <w:sz w:val="24"/>
    </w:rPr>
  </w:style>
  <w:style w:type="paragraph" w:styleId="Calendar">
    <w:name w:val="Calendar"/>
    <w:basedOn w:val="Normal"/>
    <w:qFormat/>
    <w:pPr/>
    <w:rPr>
      <w:sz w:val="24"/>
    </w:rPr>
  </w:style>
  <w:style w:type="paragraph" w:styleId="HCtrmed">
    <w:name w:val="H_Ctr/med"/>
    <w:basedOn w:val="Normalmed"/>
    <w:next w:val="BLKmed1st1"/>
    <w:qFormat/>
    <w:pPr>
      <w:keepNext w:val="true"/>
      <w:keepLines/>
      <w:spacing w:before="0" w:after="220"/>
      <w:jc w:val="center"/>
    </w:pPr>
    <w:rPr/>
  </w:style>
  <w:style w:type="paragraph" w:styleId="HCtrsm">
    <w:name w:val="H_Ctr/sm"/>
    <w:basedOn w:val="Normalsm"/>
    <w:next w:val="BLKsm1st1"/>
    <w:qFormat/>
    <w:pPr>
      <w:keepNext w:val="true"/>
      <w:keepLines/>
      <w:spacing w:before="0" w:after="200"/>
      <w:jc w:val="center"/>
    </w:pPr>
    <w:rPr/>
  </w:style>
  <w:style w:type="paragraph" w:styleId="TableBody">
    <w:name w:val="Table Body"/>
    <w:basedOn w:val="Normal"/>
    <w:qFormat/>
    <w:pPr/>
    <w:rPr>
      <w:rFonts w:ascii="Arial Narrow" w:hAnsi="Arial Narrow" w:cs="Arial Narrow"/>
      <w:sz w:val="16"/>
    </w:rPr>
  </w:style>
  <w:style w:type="paragraph" w:styleId="TopRightFrame">
    <w:name w:val="TopRightFrame"/>
    <w:basedOn w:val="Normal"/>
    <w:qFormat/>
    <w:pPr>
      <w:jc w:val="end"/>
    </w:pPr>
    <w:rPr>
      <w:b/>
      <w:sz w:val="24"/>
      <w:u w:val="single"/>
    </w:rPr>
  </w:style>
  <w:style w:type="paragraph" w:styleId="Nummed1st0">
    <w:name w:val="Num/med/1st/0"/>
    <w:basedOn w:val="Normalmed"/>
    <w:qFormat/>
    <w:pPr>
      <w:numPr>
        <w:ilvl w:val="0"/>
        <w:numId w:val="16"/>
      </w:numPr>
    </w:pPr>
    <w:rPr/>
  </w:style>
  <w:style w:type="paragraph" w:styleId="Nummed1st5">
    <w:name w:val="Num/med/1st/.5"/>
    <w:basedOn w:val="Nummed1st0"/>
    <w:qFormat/>
    <w:pPr>
      <w:spacing w:before="0" w:after="110"/>
    </w:pPr>
    <w:rPr/>
  </w:style>
  <w:style w:type="paragraph" w:styleId="Nummed1st1">
    <w:name w:val="Num/med/1st/1"/>
    <w:basedOn w:val="Nummed1st0"/>
    <w:qFormat/>
    <w:pPr>
      <w:spacing w:before="0" w:after="220"/>
    </w:pPr>
    <w:rPr/>
  </w:style>
  <w:style w:type="paragraph" w:styleId="TableB1st">
    <w:name w:val="Table B/1st"/>
    <w:basedOn w:val="TableBody"/>
    <w:qFormat/>
    <w:pPr>
      <w:numPr>
        <w:ilvl w:val="0"/>
        <w:numId w:val="7"/>
      </w:numPr>
    </w:pPr>
    <w:rPr/>
  </w:style>
  <w:style w:type="paragraph" w:styleId="TableHead">
    <w:name w:val="Table Head"/>
    <w:basedOn w:val="TableBody"/>
    <w:qFormat/>
    <w:pPr>
      <w:keepNext w:val="true"/>
      <w:keepLines/>
      <w:pBdr>
        <w:bottom w:val="single" w:sz="4" w:space="1" w:color="000000"/>
      </w:pBdr>
      <w:jc w:val="center"/>
    </w:pPr>
    <w:rPr>
      <w:b/>
    </w:rPr>
  </w:style>
  <w:style w:type="paragraph" w:styleId="TableHeadSpace">
    <w:name w:val="Table Head Space"/>
    <w:basedOn w:val="TableBody"/>
    <w:qFormat/>
    <w:pPr>
      <w:keepNext w:val="true"/>
      <w:keepLines/>
      <w:spacing w:lineRule="exact" w:line="120"/>
    </w:pPr>
    <w:rPr>
      <w:caps/>
      <w:sz w:val="12"/>
    </w:rPr>
  </w:style>
  <w:style w:type="paragraph" w:styleId="Bsm2nd0">
    <w:name w:val="B/sm/2nd/0"/>
    <w:basedOn w:val="Normalsm"/>
    <w:qFormat/>
    <w:pPr>
      <w:numPr>
        <w:ilvl w:val="0"/>
        <w:numId w:val="15"/>
      </w:numPr>
      <w:ind w:hanging="0" w:start="720" w:end="0"/>
    </w:pPr>
    <w:rPr/>
  </w:style>
  <w:style w:type="paragraph" w:styleId="Bsm2nd5">
    <w:name w:val="B/sm/2nd/.5"/>
    <w:basedOn w:val="Bsm2nd0"/>
    <w:qFormat/>
    <w:pPr>
      <w:spacing w:before="0" w:after="100"/>
    </w:pPr>
    <w:rPr/>
  </w:style>
  <w:style w:type="paragraph" w:styleId="Bsm2nd1">
    <w:name w:val="B/sm/2nd/1"/>
    <w:basedOn w:val="Bsm2nd0"/>
    <w:qFormat/>
    <w:pPr>
      <w:spacing w:before="0" w:after="200"/>
    </w:pPr>
    <w:rPr/>
  </w:style>
  <w:style w:type="paragraph" w:styleId="Bmed3rd1">
    <w:name w:val="B/med/3rd/1"/>
    <w:basedOn w:val="Bmed3rd0"/>
    <w:qFormat/>
    <w:pPr>
      <w:spacing w:before="0" w:after="220"/>
    </w:pPr>
    <w:rPr/>
  </w:style>
  <w:style w:type="paragraph" w:styleId="Bsm3rd1">
    <w:name w:val="B/sm/3rd/1"/>
    <w:basedOn w:val="Bsm3rd0"/>
    <w:qFormat/>
    <w:pPr>
      <w:spacing w:before="0" w:after="200"/>
    </w:pPr>
    <w:rPr/>
  </w:style>
  <w:style w:type="paragraph" w:styleId="Bsm4th0">
    <w:name w:val="B/sm/4th/0"/>
    <w:basedOn w:val="Normalsm"/>
    <w:qFormat/>
    <w:pPr>
      <w:numPr>
        <w:ilvl w:val="0"/>
        <w:numId w:val="8"/>
      </w:numPr>
      <w:ind w:hanging="0" w:start="1440" w:end="0"/>
    </w:pPr>
    <w:rPr/>
  </w:style>
  <w:style w:type="paragraph" w:styleId="Bsm4th1">
    <w:name w:val="B/sm/4th/1"/>
    <w:basedOn w:val="Bsm4th0"/>
    <w:qFormat/>
    <w:pPr>
      <w:spacing w:before="0" w:after="200"/>
    </w:pPr>
    <w:rPr/>
  </w:style>
  <w:style w:type="paragraph" w:styleId="Bsm4th5">
    <w:name w:val="B/sm/4th/.5"/>
    <w:basedOn w:val="Bsm4th0"/>
    <w:qFormat/>
    <w:pPr>
      <w:spacing w:before="0" w:after="100"/>
    </w:pPr>
    <w:rPr/>
  </w:style>
  <w:style w:type="paragraph" w:styleId="TableSpacer">
    <w:name w:val="Table Spacer"/>
    <w:basedOn w:val="TableBody"/>
    <w:qFormat/>
    <w:pPr>
      <w:spacing w:lineRule="exact" w:line="120"/>
    </w:pPr>
    <w:rPr/>
  </w:style>
  <w:style w:type="paragraph" w:styleId="Numsm1st0">
    <w:name w:val="Num/sm/1st/0"/>
    <w:basedOn w:val="Normalsm"/>
    <w:qFormat/>
    <w:pPr>
      <w:numPr>
        <w:ilvl w:val="0"/>
        <w:numId w:val="13"/>
      </w:numPr>
    </w:pPr>
    <w:rPr/>
  </w:style>
  <w:style w:type="paragraph" w:styleId="Numsm1st1">
    <w:name w:val="Num/sm/1st/1"/>
    <w:basedOn w:val="Numsm1st0"/>
    <w:qFormat/>
    <w:pPr>
      <w:spacing w:before="0" w:after="200"/>
    </w:pPr>
    <w:rPr/>
  </w:style>
  <w:style w:type="paragraph" w:styleId="Numsm1st5">
    <w:name w:val="Num/sm/1st/.5"/>
    <w:basedOn w:val="Numsm1st0"/>
    <w:qFormat/>
    <w:pPr>
      <w:spacing w:before="0" w:after="100"/>
    </w:pPr>
    <w:rPr/>
  </w:style>
  <w:style w:type="paragraph" w:styleId="DocumentID">
    <w:name w:val="Document ID"/>
    <w:basedOn w:val="Normal"/>
    <w:qFormat/>
    <w:pPr>
      <w:spacing w:before="240" w:after="0"/>
      <w:ind w:hanging="0" w:start="-4104" w:end="0"/>
    </w:pPr>
    <w:rPr>
      <w:rFonts w:ascii="Arial" w:hAnsi="Arial" w:cs="Arial"/>
      <w:caps/>
      <w:sz w:val="12"/>
    </w:rPr>
  </w:style>
  <w:style w:type="paragraph" w:styleId="HLftmed1st">
    <w:name w:val="H_Lft/med/1st"/>
    <w:basedOn w:val="Normalmed"/>
    <w:next w:val="BLKmed1st1"/>
    <w:qFormat/>
    <w:pPr>
      <w:keepNext w:val="true"/>
      <w:keepLines/>
      <w:spacing w:before="0" w:after="220"/>
      <w:jc w:val="start"/>
    </w:pPr>
    <w:rPr>
      <w:b/>
    </w:rPr>
  </w:style>
  <w:style w:type="paragraph" w:styleId="HLftsm1st">
    <w:name w:val="H_Lft/sm/1st"/>
    <w:basedOn w:val="Normalsm"/>
    <w:next w:val="BLKsm1st1"/>
    <w:qFormat/>
    <w:pPr>
      <w:keepNext w:val="true"/>
      <w:keepLines/>
      <w:spacing w:before="0" w:after="200"/>
      <w:jc w:val="start"/>
    </w:pPr>
    <w:rPr>
      <w:b/>
    </w:rPr>
  </w:style>
  <w:style w:type="paragraph" w:styleId="HLftmed2nd">
    <w:name w:val="H_Lft/med/2nd"/>
    <w:basedOn w:val="HLftmed1st"/>
    <w:next w:val="BLKmed2nd1"/>
    <w:qFormat/>
    <w:pPr>
      <w:ind w:hanging="0" w:start="360" w:end="0"/>
    </w:pPr>
    <w:rPr/>
  </w:style>
  <w:style w:type="paragraph" w:styleId="HLftsm2nd">
    <w:name w:val="H_Lft/sm/2nd"/>
    <w:basedOn w:val="HLftsm1st"/>
    <w:next w:val="BLKsm2nd1"/>
    <w:qFormat/>
    <w:pPr>
      <w:ind w:hanging="0" w:start="360" w:end="0"/>
    </w:pPr>
    <w:rPr/>
  </w:style>
  <w:style w:type="paragraph" w:styleId="zCodes">
    <w:name w:val="z Codes"/>
    <w:basedOn w:val="BLKmed1st1"/>
    <w:qFormat/>
    <w:pPr>
      <w:shd w:fill="808000" w:val="clear"/>
      <w:jc w:val="center"/>
    </w:pPr>
    <w:rPr>
      <w:rFonts w:ascii="Arial" w:hAnsi="Arial" w:cs="Arial"/>
      <w:b/>
      <w:vanish/>
      <w:color w:val="000080"/>
      <w:sz w:val="28"/>
    </w:rPr>
  </w:style>
  <w:style w:type="paragraph" w:styleId="zTableNotes">
    <w:name w:val="z TableNotes"/>
    <w:basedOn w:val="Normal"/>
    <w:qFormat/>
    <w:pPr>
      <w:tabs>
        <w:tab w:val="left" w:pos="360" w:leader="none"/>
      </w:tabs>
    </w:pPr>
    <w:rPr>
      <w:rFonts w:ascii="Arial Narrow" w:hAnsi="Arial Narrow" w:cs="Arial Narrow"/>
      <w:sz w:val="16"/>
    </w:rPr>
  </w:style>
  <w:style w:type="paragraph" w:styleId="zSectionTitle">
    <w:name w:val="z SectionTitle"/>
    <w:basedOn w:val="Normal"/>
    <w:next w:val="BLKmed1st1"/>
    <w:qFormat/>
    <w:pPr>
      <w:pBdr>
        <w:bottom w:val="single" w:sz="18" w:space="4" w:color="000000"/>
      </w:pBdr>
      <w:spacing w:before="0" w:after="280"/>
      <w:ind w:hanging="446" w:start="446" w:end="0"/>
    </w:pPr>
    <w:rPr>
      <w:smallCaps/>
      <w:sz w:val="28"/>
    </w:rPr>
  </w:style>
  <w:style w:type="paragraph" w:styleId="zSideBar">
    <w:name w:val="z SideBar"/>
    <w:basedOn w:val="Normal"/>
    <w:qFormat/>
    <w:pPr>
      <w:keepNext w:val="true"/>
    </w:pPr>
    <w:rPr>
      <w:b/>
      <w:i/>
    </w:rPr>
  </w:style>
  <w:style w:type="paragraph" w:styleId="TableB2nd">
    <w:name w:val="Table B/2nd"/>
    <w:basedOn w:val="TableBody"/>
    <w:qFormat/>
    <w:pPr>
      <w:numPr>
        <w:ilvl w:val="0"/>
        <w:numId w:val="18"/>
      </w:numPr>
    </w:pPr>
    <w:rPr/>
  </w:style>
  <w:style w:type="paragraph" w:styleId="zTOCEntry">
    <w:name w:val="z TOC Entry"/>
    <w:basedOn w:val="Normal"/>
    <w:qFormat/>
    <w:pPr>
      <w:spacing w:before="0" w:after="140"/>
    </w:pPr>
    <w:rPr>
      <w:smallCaps/>
      <w:sz w:val="28"/>
    </w:rPr>
  </w:style>
  <w:style w:type="paragraph" w:styleId="zSection">
    <w:name w:val="z Section#"/>
    <w:basedOn w:val="Normal"/>
    <w:qFormat/>
    <w:pPr>
      <w:spacing w:before="0" w:after="240"/>
      <w:ind w:hanging="0" w:start="-3240" w:end="0"/>
    </w:pPr>
    <w:rPr>
      <w:smallCaps/>
    </w:rPr>
  </w:style>
  <w:style w:type="paragraph" w:styleId="zCoverPortLogo">
    <w:name w:val="z Cover Port Logo"/>
    <w:basedOn w:val="Normal"/>
    <w:qFormat/>
    <w:pPr>
      <w:spacing w:before="1080" w:after="0"/>
      <w:jc w:val="center"/>
    </w:pPr>
    <w:rPr>
      <w:sz w:val="24"/>
    </w:rPr>
  </w:style>
  <w:style w:type="paragraph" w:styleId="zCovPortName">
    <w:name w:val="z Cov Port Name"/>
    <w:basedOn w:val="Normal"/>
    <w:qFormat/>
    <w:pPr>
      <w:pBdr>
        <w:bottom w:val="double" w:sz="18" w:space="0" w:color="000000"/>
      </w:pBdr>
      <w:jc w:val="center"/>
    </w:pPr>
    <w:rPr>
      <w:caps/>
      <w:sz w:val="48"/>
    </w:rPr>
  </w:style>
  <w:style w:type="paragraph" w:styleId="zCoverPortTitle">
    <w:name w:val="z Cover Port Title"/>
    <w:basedOn w:val="Normal"/>
    <w:qFormat/>
    <w:pPr>
      <w:spacing w:before="0" w:after="120"/>
      <w:jc w:val="center"/>
    </w:pPr>
    <w:rPr>
      <w:sz w:val="40"/>
    </w:rPr>
  </w:style>
  <w:style w:type="paragraph" w:styleId="zCoverPortDate">
    <w:name w:val="z Cover Port Date"/>
    <w:basedOn w:val="Normal"/>
    <w:qFormat/>
    <w:pPr>
      <w:jc w:val="center"/>
    </w:pPr>
    <w:rPr>
      <w:b/>
      <w:i/>
      <w:sz w:val="36"/>
    </w:rPr>
  </w:style>
  <w:style w:type="paragraph" w:styleId="TableTitlemed0">
    <w:name w:val="Table Title/med/0"/>
    <w:basedOn w:val="Normalmed"/>
    <w:qFormat/>
    <w:pPr>
      <w:keepNext w:val="true"/>
      <w:keepLines/>
      <w:jc w:val="start"/>
    </w:pPr>
    <w:rPr>
      <w:rFonts w:ascii="Arial Narrow" w:hAnsi="Arial Narrow" w:cs="Arial Narrow"/>
      <w:b/>
      <w:sz w:val="20"/>
    </w:rPr>
  </w:style>
  <w:style w:type="paragraph" w:styleId="TableTitlemed5">
    <w:name w:val="Table Title/med/.5"/>
    <w:basedOn w:val="TableTitlemed0"/>
    <w:qFormat/>
    <w:pPr>
      <w:spacing w:before="0" w:after="100"/>
    </w:pPr>
    <w:rPr/>
  </w:style>
  <w:style w:type="paragraph" w:styleId="TableTitlemed1">
    <w:name w:val="Table Title/med/1"/>
    <w:basedOn w:val="TableTitlemed0"/>
    <w:qFormat/>
    <w:pPr>
      <w:spacing w:before="0" w:after="200"/>
      <w:jc w:val="center"/>
    </w:pPr>
    <w:rPr/>
  </w:style>
  <w:style w:type="paragraph" w:styleId="TableTitlesm0">
    <w:name w:val="Table Title/sm/0"/>
    <w:basedOn w:val="Normalsm"/>
    <w:qFormat/>
    <w:pPr>
      <w:keepNext w:val="true"/>
      <w:keepLines/>
      <w:jc w:val="start"/>
    </w:pPr>
    <w:rPr>
      <w:rFonts w:ascii="Arial Narrow" w:hAnsi="Arial Narrow" w:cs="Arial Narrow"/>
      <w:b/>
      <w:sz w:val="16"/>
    </w:rPr>
  </w:style>
  <w:style w:type="paragraph" w:styleId="TableTitlesm5">
    <w:name w:val="Table Title/sm/.5"/>
    <w:basedOn w:val="TableTitlesm0"/>
    <w:qFormat/>
    <w:pPr>
      <w:spacing w:before="0" w:after="80"/>
    </w:pPr>
    <w:rPr/>
  </w:style>
  <w:style w:type="paragraph" w:styleId="TableTitlesm1">
    <w:name w:val="Table Title/sm/1"/>
    <w:basedOn w:val="TableTitlesm0"/>
    <w:qFormat/>
    <w:pPr>
      <w:spacing w:before="0" w:after="160"/>
    </w:pPr>
    <w:rPr/>
  </w:style>
  <w:style w:type="paragraph" w:styleId="TableB3rd">
    <w:name w:val="Table B/3rd"/>
    <w:basedOn w:val="TableBody"/>
    <w:qFormat/>
    <w:pPr>
      <w:numPr>
        <w:ilvl w:val="0"/>
        <w:numId w:val="2"/>
      </w:numPr>
    </w:pPr>
    <w:rPr/>
  </w:style>
  <w:style w:type="paragraph" w:styleId="TableB4th">
    <w:name w:val="Table B/4th"/>
    <w:basedOn w:val="TableBody"/>
    <w:qFormat/>
    <w:pPr>
      <w:numPr>
        <w:ilvl w:val="0"/>
        <w:numId w:val="6"/>
      </w:numPr>
    </w:pPr>
    <w:rPr/>
  </w:style>
  <w:style w:type="paragraph" w:styleId="TableNum">
    <w:name w:val="Table Num"/>
    <w:basedOn w:val="TableBody"/>
    <w:qFormat/>
    <w:pPr>
      <w:numPr>
        <w:ilvl w:val="0"/>
        <w:numId w:val="3"/>
      </w:numPr>
    </w:pPr>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Footer">
    <w:name w:val="footer"/>
    <w:basedOn w:val="Normal"/>
    <w:pPr>
      <w:tabs>
        <w:tab w:val="clear" w:pos="360"/>
        <w:tab w:val="center" w:pos="4320" w:leader="none"/>
        <w:tab w:val="right" w:pos="8640" w:leader="none"/>
      </w:tabs>
    </w:pPr>
    <w:rPr>
      <w:rFonts w:ascii="Arial" w:hAnsi="Arial" w:cs="Arial"/>
      <w:sz w:val="12"/>
    </w:rPr>
  </w:style>
  <w:style w:type="paragraph" w:styleId="Header">
    <w:name w:val="header"/>
    <w:basedOn w:val="Normal"/>
    <w:pPr>
      <w:tabs>
        <w:tab w:val="clear" w:pos="360"/>
        <w:tab w:val="center" w:pos="4320" w:leader="none"/>
        <w:tab w:val="right" w:pos="8640" w:leader="none"/>
      </w:tabs>
      <w:spacing w:lineRule="exact" w:line="20"/>
    </w:pPr>
    <w:rPr/>
  </w:style>
  <w:style w:type="paragraph" w:styleId="PAGENUMBER1">
    <w:name w:val="PAGE NUMBER1"/>
    <w:basedOn w:val="HCtrsm"/>
    <w:qFormat/>
    <w:pPr/>
    <w:rPr>
      <w:lang w:eastAsia="en-US"/>
    </w:rPr>
  </w:style>
  <w:style w:type="paragraph" w:styleId="DocumentID1">
    <w:name w:val="$Document ID"/>
    <w:basedOn w:val="DocumentID"/>
    <w:qFormat/>
    <w:pPr>
      <w:ind w:hanging="0" w:start="-720" w:end="0"/>
    </w:pPr>
    <w:rPr>
      <w:lang w:eastAsia="en-US"/>
    </w:rPr>
  </w:style>
  <w:style w:type="paragraph" w:styleId="TOC1">
    <w:name w:val="toc 1"/>
    <w:basedOn w:val="Normal"/>
    <w:next w:val="Normal"/>
    <w:pPr>
      <w:jc w:val="center"/>
    </w:pPr>
    <w:rPr/>
  </w:style>
  <w:style w:type="paragraph" w:styleId="TOC2">
    <w:name w:val="toc 2"/>
    <w:basedOn w:val="Normal"/>
    <w:next w:val="Normal"/>
    <w:pPr>
      <w:ind w:hanging="0" w:start="220" w:end="0"/>
    </w:pPr>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TableBody12">
    <w:name w:val="$TableBody12"/>
    <w:qFormat/>
    <w:pPr>
      <w:widowControl/>
      <w:bidi w:val="0"/>
    </w:pPr>
    <w:rPr>
      <w:rFonts w:ascii="Times New Roman" w:hAnsi="Times New Roman" w:eastAsia="Times New Roman" w:cs="Times New Roman"/>
      <w:color w:val="auto"/>
      <w:sz w:val="24"/>
      <w:szCs w:val="20"/>
      <w:lang w:val="en-US" w:eastAsia="zh-CN" w:bidi="hi-IN"/>
    </w:rPr>
  </w:style>
  <w:style w:type="paragraph" w:styleId="Headly">
    <w:name w:val="$Headly"/>
    <w:basedOn w:val="HLftmed1st"/>
    <w:qFormat/>
    <w:pPr>
      <w:spacing w:before="0" w:after="120"/>
    </w:pPr>
    <w:rPr>
      <w:u w:val="single"/>
    </w:rPr>
  </w:style>
  <w:style w:type="paragraph" w:styleId="Table">
    <w:name w:val="$Table"/>
    <w:basedOn w:val="Normal"/>
    <w:qFormat/>
    <w:pPr>
      <w:spacing w:before="0" w:after="80"/>
    </w:pPr>
    <w:rPr>
      <w:rFonts w:ascii="Arial Narrow" w:hAnsi="Arial Narrow" w:cs="Arial Narrow"/>
      <w:color w:val="000000"/>
      <w:sz w:val="16"/>
      <w:lang w:eastAsia="en-US"/>
    </w:rPr>
  </w:style>
  <w:style w:type="paragraph" w:styleId="TableNum1">
    <w:name w:val="$TableNum"/>
    <w:basedOn w:val="Table"/>
    <w:qFormat/>
    <w:pPr>
      <w:ind w:hanging="0" w:start="0" w:end="72"/>
      <w:jc w:val="end"/>
    </w:pPr>
    <w:rPr/>
  </w:style>
  <w:style w:type="paragraph" w:styleId="TableSum">
    <w:name w:val="$TableSum"/>
    <w:basedOn w:val="TableNum1"/>
    <w:qFormat/>
    <w:pPr>
      <w:pBdr>
        <w:bottom w:val="single" w:sz="4" w:space="1" w:color="000000"/>
      </w:pBdr>
    </w:pPr>
    <w:rPr/>
  </w:style>
  <w:style w:type="paragraph" w:styleId="HuhHuhHuh">
    <w:name w:val="$HuhHuhHuh"/>
    <w:basedOn w:val="BLKmed1st1"/>
    <w:qFormat/>
    <w:pPr>
      <w:keepNext w:val="true"/>
      <w:spacing w:before="0" w:after="120"/>
    </w:pPr>
    <w:rPr>
      <w:b/>
    </w:rPr>
  </w:style>
  <w:style w:type="paragraph" w:styleId="DocumentMap">
    <w:name w:val="Document Map"/>
    <w:basedOn w:val="Normal"/>
    <w:qFormat/>
    <w:pPr>
      <w:shd w:fill="000080" w:val="clear"/>
    </w:pPr>
    <w:rPr>
      <w:rFonts w:ascii="Tahoma" w:hAnsi="Tahoma" w:cs="Tahoma"/>
    </w:rPr>
  </w:style>
  <w:style w:type="paragraph" w:styleId="CovLandDate">
    <w:name w:val="Cov Land Date"/>
    <w:basedOn w:val="Normal"/>
    <w:qFormat/>
    <w:pPr>
      <w:jc w:val="center"/>
    </w:pPr>
    <w:rPr>
      <w:b/>
      <w:i/>
      <w:sz w:val="48"/>
    </w:rPr>
  </w:style>
  <w:style w:type="paragraph" w:styleId="CovLandLogo">
    <w:name w:val="Cov Land Logo"/>
    <w:basedOn w:val="Normal"/>
    <w:qFormat/>
    <w:pPr>
      <w:spacing w:before="1080" w:after="0"/>
      <w:jc w:val="center"/>
    </w:pPr>
    <w:rPr>
      <w:sz w:val="28"/>
    </w:rPr>
  </w:style>
  <w:style w:type="paragraph" w:styleId="CovLandTitle">
    <w:name w:val="Cov Land Title"/>
    <w:basedOn w:val="Normal"/>
    <w:next w:val="CovLandDate"/>
    <w:qFormat/>
    <w:pPr>
      <w:spacing w:before="0" w:after="120"/>
      <w:jc w:val="center"/>
    </w:pPr>
    <w:rPr>
      <w:sz w:val="56"/>
    </w:rPr>
  </w:style>
  <w:style w:type="paragraph" w:styleId="CovLandName">
    <w:name w:val="Cov Land Name"/>
    <w:basedOn w:val="Normal"/>
    <w:next w:val="CovLandTitle"/>
    <w:qFormat/>
    <w:pPr>
      <w:pBdr>
        <w:bottom w:val="double" w:sz="18" w:space="4" w:color="000000"/>
      </w:pBdr>
      <w:jc w:val="center"/>
    </w:pPr>
    <w:rPr>
      <w:caps/>
      <w:sz w:val="72"/>
    </w:rPr>
  </w:style>
  <w:style w:type="paragraph" w:styleId="PageTitle">
    <w:name w:val="Page Title"/>
    <w:basedOn w:val="Normal"/>
    <w:next w:val="PageSubTitle"/>
    <w:qFormat/>
    <w:pPr>
      <w:pBdr>
        <w:bottom w:val="single" w:sz="18" w:space="3" w:color="000000"/>
      </w:pBdr>
      <w:jc w:val="center"/>
    </w:pPr>
    <w:rPr>
      <w:caps/>
      <w:sz w:val="48"/>
    </w:rPr>
  </w:style>
  <w:style w:type="paragraph" w:styleId="PageSubTitle">
    <w:name w:val="Page SubTitle"/>
    <w:basedOn w:val="Normal"/>
    <w:next w:val="PageSubTitle2"/>
    <w:qFormat/>
    <w:pPr>
      <w:jc w:val="center"/>
    </w:pPr>
    <w:rPr>
      <w:sz w:val="40"/>
    </w:rPr>
  </w:style>
  <w:style w:type="paragraph" w:styleId="PageSubTitle2">
    <w:name w:val="Page SubTitle2"/>
    <w:basedOn w:val="Normal"/>
    <w:next w:val="BLKmed1st1"/>
    <w:qFormat/>
    <w:pPr>
      <w:spacing w:before="80" w:after="0"/>
      <w:jc w:val="center"/>
    </w:pPr>
    <w:rPr>
      <w:sz w:val="36"/>
    </w:rPr>
  </w:style>
  <w:style w:type="paragraph" w:styleId="PageSubCtd">
    <w:name w:val="Page Sub Ctd"/>
    <w:basedOn w:val="Normal"/>
    <w:qFormat/>
    <w:pPr>
      <w:spacing w:before="0" w:after="480"/>
      <w:jc w:val="center"/>
    </w:pPr>
    <w:rPr>
      <w:sz w:val="28"/>
    </w:rPr>
  </w:style>
  <w:style w:type="paragraph" w:styleId="Numxsm1st0">
    <w:name w:val="Num/xsm/1st/0"/>
    <w:basedOn w:val="Normal"/>
    <w:qFormat/>
    <w:pPr>
      <w:numPr>
        <w:ilvl w:val="0"/>
        <w:numId w:val="3"/>
      </w:numPr>
      <w:jc w:val="both"/>
    </w:pPr>
    <w:rPr>
      <w:sz w:val="20"/>
    </w:rPr>
  </w:style>
  <w:style w:type="paragraph" w:styleId="NormalXL">
    <w:name w:val="Normal/XL"/>
    <w:basedOn w:val="Normal"/>
    <w:qFormat/>
    <w:pPr>
      <w:jc w:val="both"/>
    </w:pPr>
    <w:rPr>
      <w:sz w:val="36"/>
    </w:rPr>
  </w:style>
  <w:style w:type="paragraph" w:styleId="BXL1st0">
    <w:name w:val="B/XL/1st/0"/>
    <w:basedOn w:val="NormalXL"/>
    <w:qFormat/>
    <w:pPr>
      <w:numPr>
        <w:ilvl w:val="0"/>
        <w:numId w:val="10"/>
      </w:numPr>
    </w:pPr>
    <w:rPr/>
  </w:style>
  <w:style w:type="paragraph" w:styleId="BLKXL2nd1">
    <w:name w:val="BLK/XL/2nd/1"/>
    <w:basedOn w:val="Normal"/>
    <w:qFormat/>
    <w:pPr>
      <w:spacing w:before="0" w:after="360"/>
      <w:ind w:hanging="0" w:start="720" w:end="0"/>
      <w:jc w:val="both"/>
    </w:pPr>
    <w:rPr>
      <w:sz w:val="36"/>
    </w:rPr>
  </w:style>
  <w:style w:type="paragraph" w:styleId="BLKXL3rd0">
    <w:name w:val="BLK/XL/3rd/0"/>
    <w:basedOn w:val="NormalXL"/>
    <w:qFormat/>
    <w:pPr>
      <w:ind w:hanging="0" w:start="1440" w:end="0"/>
    </w:pPr>
    <w:rPr/>
  </w:style>
  <w:style w:type="paragraph" w:styleId="BLKXL3rd5">
    <w:name w:val="BLK/XL/3rd/.5"/>
    <w:basedOn w:val="BLKXL3rd0"/>
    <w:qFormat/>
    <w:pPr>
      <w:spacing w:before="0" w:after="180"/>
    </w:pPr>
    <w:rPr/>
  </w:style>
  <w:style w:type="paragraph" w:styleId="BLKXL3rd1">
    <w:name w:val="BLK/XL/3rd/1"/>
    <w:basedOn w:val="BLKXL3rd0"/>
    <w:qFormat/>
    <w:pPr>
      <w:spacing w:before="0" w:after="360"/>
    </w:pPr>
    <w:rPr/>
  </w:style>
  <w:style w:type="paragraph" w:styleId="SectionTitle">
    <w:name w:val="Section Title"/>
    <w:basedOn w:val="Normal"/>
    <w:qFormat/>
    <w:pPr>
      <w:widowControl w:val="false"/>
      <w:pBdr>
        <w:top w:val="single" w:sz="18" w:space="20" w:color="000000"/>
        <w:bottom w:val="single" w:sz="18" w:space="20" w:color="000000"/>
      </w:pBdr>
      <w:spacing w:before="3960" w:after="0"/>
      <w:jc w:val="center"/>
    </w:pPr>
    <w:rPr>
      <w:b/>
      <w:caps/>
      <w:sz w:val="48"/>
    </w:rPr>
  </w:style>
  <w:style w:type="paragraph" w:styleId="BLKmed1st11">
    <w:name w:val="$BLK/med/1st/1"/>
    <w:basedOn w:val="BLKmed1st1"/>
    <w:qFormat/>
    <w:pPr/>
    <w:rPr>
      <w:u w:val="single"/>
    </w:rPr>
  </w:style>
  <w:style w:type="paragraph" w:styleId="FN7">
    <w:name w:val="FN7"/>
    <w:basedOn w:val="FN8"/>
    <w:qFormat/>
    <w:pPr>
      <w:tabs>
        <w:tab w:val="clear" w:pos="605"/>
        <w:tab w:val="left" w:pos="342" w:leader="none"/>
      </w:tabs>
      <w:ind w:hanging="522" w:start="522" w:end="0"/>
    </w:pPr>
    <w:rPr>
      <w:rFonts w:ascii="Arial Narrow" w:hAnsi="Arial Narrow" w:cs="Arial Narrow"/>
      <w:sz w:val="14"/>
    </w:rPr>
  </w:style>
  <w:style w:type="paragraph" w:styleId="BodyText3">
    <w:name w:val="Body Text 3"/>
    <w:basedOn w:val="Normal"/>
    <w:qFormat/>
    <w:pPr>
      <w:jc w:val="center"/>
    </w:pPr>
    <w:rPr>
      <w:sz w:val="32"/>
    </w:rPr>
  </w:style>
  <w:style w:type="paragraph" w:styleId="BodyText2">
    <w:name w:val="Body Text 2"/>
    <w:basedOn w:val="Normal"/>
    <w:qFormat/>
    <w:pPr/>
    <w:rPr>
      <w:b/>
      <w:sz w:val="28"/>
    </w:rPr>
  </w:style>
  <w:style w:type="paragraph" w:styleId="ListBullet">
    <w:name w:val="List Bullet"/>
    <w:basedOn w:val="Normal"/>
    <w:qFormat/>
    <w:pPr>
      <w:numPr>
        <w:ilvl w:val="0"/>
        <w:numId w:val="25"/>
      </w:numPr>
      <w:ind w:hanging="360" w:start="360" w:end="0"/>
    </w:pPr>
    <w:rPr>
      <w:sz w:val="20"/>
    </w:rPr>
  </w:style>
  <w:style w:type="paragraph" w:styleId="CommentText">
    <w:name w:val="Comment Text"/>
    <w:basedOn w:val="Normal"/>
    <w:qFormat/>
    <w:pPr/>
    <w:rPr>
      <w:sz w:val="20"/>
    </w:rPr>
  </w:style>
  <w:style w:type="paragraph" w:styleId="Nummed1st11">
    <w:name w:val="$Num/med/1st/1"/>
    <w:basedOn w:val="BLKmed1st1"/>
    <w:qFormat/>
    <w:pPr>
      <w:numPr>
        <w:ilvl w:val="0"/>
        <w:numId w:val="4"/>
      </w:numPr>
      <w:spacing w:before="0" w:after="240"/>
    </w:pPr>
    <w:rPr/>
  </w:style>
  <w:style w:type="paragraph" w:styleId="BLKmed4th15">
    <w:name w:val="BLK/med/4th/1.5"/>
    <w:basedOn w:val="Normal"/>
    <w:qFormat/>
    <w:pPr>
      <w:spacing w:lineRule="auto" w:line="360" w:before="0" w:after="360"/>
      <w:ind w:hanging="0" w:start="2160" w:end="0"/>
      <w:jc w:val="both"/>
    </w:pPr>
    <w:rPr>
      <w:sz w:val="24"/>
    </w:rPr>
  </w:style>
  <w:style w:type="paragraph" w:styleId="tabletitles">
    <w:name w:val="$table titles"/>
    <w:basedOn w:val="Normal"/>
    <w:qFormat/>
    <w:pPr>
      <w:keepNext w:val="true"/>
    </w:pPr>
    <w:rPr>
      <w:b/>
      <w:u w:val="single"/>
    </w:rPr>
  </w:style>
  <w:style w:type="paragraph" w:styleId="Tableheading">
    <w:name w:val="Table heading"/>
    <w:basedOn w:val="Normal"/>
    <w:next w:val="Normal"/>
    <w:qFormat/>
    <w:pPr>
      <w:keepNext w:val="true"/>
      <w:spacing w:lineRule="exact" w:line="220" w:before="280" w:after="140"/>
      <w:jc w:val="center"/>
    </w:pPr>
    <w:rPr>
      <w:rFonts w:ascii="Sabon" w:hAnsi="Sabon" w:cs="Sabon"/>
      <w:b/>
      <w:sz w:val="20"/>
    </w:rPr>
  </w:style>
  <w:style w:type="paragraph" w:styleId="Tableheadingfullpage">
    <w:name w:val="Table heading full page"/>
    <w:basedOn w:val="Tableheading"/>
    <w:next w:val="Normal"/>
    <w:qFormat/>
    <w:pPr>
      <w:ind w:hanging="0" w:start="-3260" w:end="0"/>
    </w:pPr>
    <w:rPr/>
  </w:style>
  <w:style w:type="paragraph" w:styleId="Tablebody1">
    <w:name w:val="Table body1"/>
    <w:basedOn w:val="Normal"/>
    <w:next w:val="Normal"/>
    <w:qFormat/>
    <w:pPr>
      <w:spacing w:lineRule="atLeast" w:line="240" w:before="20" w:after="20"/>
    </w:pPr>
    <w:rPr>
      <w:rFonts w:ascii="Arial Narrow" w:hAnsi="Arial Narrow" w:cs="Arial Narrow"/>
      <w:sz w:val="18"/>
    </w:rPr>
  </w:style>
  <w:style w:type="paragraph" w:styleId="Source">
    <w:name w:val="Source"/>
    <w:basedOn w:val="Normal"/>
    <w:next w:val="Normal"/>
    <w:qFormat/>
    <w:pPr>
      <w:spacing w:lineRule="exact" w:line="200" w:before="60" w:after="0"/>
      <w:ind w:hanging="567" w:start="567" w:end="0"/>
    </w:pPr>
    <w:rPr>
      <w:rFonts w:ascii="Sabon" w:hAnsi="Sabon" w:cs="Sabon"/>
      <w:i/>
      <w:sz w:val="14"/>
    </w:rPr>
  </w:style>
  <w:style w:type="paragraph" w:styleId="Sourcefullpage">
    <w:name w:val="Source (full page)"/>
    <w:basedOn w:val="Source"/>
    <w:next w:val="Source"/>
    <w:qFormat/>
    <w:pPr>
      <w:ind w:hanging="567" w:start="-2694" w:end="0"/>
    </w:pPr>
    <w:rPr/>
  </w:style>
  <w:style w:type="paragraph" w:styleId="TableTitle">
    <w:name w:val="Table Title"/>
    <w:basedOn w:val="Normal"/>
    <w:qFormat/>
    <w:pPr>
      <w:keepNext w:val="true"/>
      <w:spacing w:lineRule="exact" w:line="240" w:before="40" w:after="0"/>
    </w:pPr>
    <w:rPr>
      <w:rFonts w:ascii="Arial" w:hAnsi="Arial" w:cs="Arial"/>
      <w:b/>
      <w:color w:val="000080"/>
      <w:sz w:val="20"/>
    </w:rPr>
  </w:style>
  <w:style w:type="paragraph" w:styleId="TableColHead">
    <w:name w:val="Table Col Head"/>
    <w:basedOn w:val="Normal"/>
    <w:qFormat/>
    <w:pPr>
      <w:keepNext w:val="true"/>
      <w:spacing w:lineRule="exact" w:line="200" w:before="40" w:after="0"/>
      <w:jc w:val="end"/>
    </w:pPr>
    <w:rPr>
      <w:rFonts w:ascii="Arial" w:hAnsi="Arial" w:cs="Arial"/>
      <w:b/>
      <w:color w:val="000080"/>
      <w:sz w:val="16"/>
    </w:rPr>
  </w:style>
  <w:style w:type="paragraph" w:styleId="zTableHeadSpacer">
    <w:name w:val="zTable Head Spacer"/>
    <w:basedOn w:val="Normal"/>
    <w:qFormat/>
    <w:pPr>
      <w:keepNext w:val="true"/>
      <w:spacing w:lineRule="exact" w:line="40"/>
    </w:pPr>
    <w:rPr>
      <w:rFonts w:ascii="Arial" w:hAnsi="Arial" w:cs="Arial"/>
      <w:b/>
      <w:color w:val="000080"/>
      <w:sz w:val="16"/>
    </w:rPr>
  </w:style>
  <w:style w:type="paragraph" w:styleId="Style11">
    <w:name w:val="Style1"/>
    <w:basedOn w:val="Normal"/>
    <w:qFormat/>
    <w:pPr>
      <w:numPr>
        <w:ilvl w:val="0"/>
        <w:numId w:val="21"/>
      </w:numPr>
    </w:pPr>
    <w:rPr>
      <w:sz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image" Target="media/image1.wmf"/><Relationship Id="rId7" Type="http://schemas.openxmlformats.org/officeDocument/2006/relationships/image" Target="media/image2.wmf"/><Relationship Id="rId8" Type="http://schemas.openxmlformats.org/officeDocument/2006/relationships/oleObject" Target="embeddings/oleObject1.bin"/><Relationship Id="rId9" Type="http://schemas.openxmlformats.org/officeDocument/2006/relationships/image" Target="media/image3.wmf"/><Relationship Id="rId10" Type="http://schemas.openxmlformats.org/officeDocument/2006/relationships/image" Target="media/image4.wmf"/><Relationship Id="rId11" Type="http://schemas.openxmlformats.org/officeDocument/2006/relationships/image" Target="media/image5.wmf"/><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image" Target="media/image6.png"/><Relationship Id="rId17" Type="http://schemas.openxmlformats.org/officeDocument/2006/relationships/header" Target="header5.xml"/><Relationship Id="rId18" Type="http://schemas.openxmlformats.org/officeDocument/2006/relationships/header" Target="header6.xml"/><Relationship Id="rId19" Type="http://schemas.openxmlformats.org/officeDocument/2006/relationships/footer" Target="footer5.xml"/><Relationship Id="rId20" Type="http://schemas.openxmlformats.org/officeDocument/2006/relationships/footer" Target="footer6.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OldBook.dot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2000-03-24T12:38:00Z</dcterms:created>
  <dc:creator>nycsb017</dc:creator>
  <dc:description/>
  <cp:keywords>F17\143261\</cp:keywords>
  <dc:language>en-CA</dc:language>
  <cp:lastModifiedBy>SVC_ParkStreet</cp:lastModifiedBy>
  <cp:lastPrinted>2000-03-24T15:06:00Z</cp:lastPrinted>
  <dcterms:modified xsi:type="dcterms:W3CDTF">2000-03-24T12:38:00Z</dcterms:modified>
  <cp:revision>2</cp:revision>
  <dc:subject/>
  <dc:title>Section</dc:title>
</cp:coreProperties>
</file>