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0"/>
          <w:szCs w:val="20"/>
        </w:rPr>
      </w:pPr>
      <w:r>
        <w:rPr>
          <w:b/>
          <w:bCs/>
          <w:sz w:val="20"/>
          <w:szCs w:val="20"/>
        </w:rPr>
        <w:t>Paragraph 13.  Elections and Variables</w:t>
      </w:r>
    </w:p>
    <w:p>
      <w:pPr>
        <w:pStyle w:val="Normal"/>
        <w:rPr>
          <w:sz w:val="20"/>
          <w:szCs w:val="20"/>
        </w:rPr>
      </w:pPr>
      <w:r>
        <w:rPr>
          <w:sz w:val="20"/>
          <w:szCs w:val="20"/>
        </w:rPr>
      </w:r>
    </w:p>
    <w:p>
      <w:pPr>
        <w:pStyle w:val="Normal"/>
        <w:rPr/>
      </w:pPr>
      <w:r>
        <w:rPr>
          <w:sz w:val="20"/>
          <w:szCs w:val="20"/>
        </w:rPr>
        <w:t>(a)</w:t>
        <w:tab/>
      </w:r>
      <w:r>
        <w:rPr>
          <w:b/>
          <w:bCs/>
          <w:i/>
          <w:iCs/>
          <w:sz w:val="20"/>
          <w:szCs w:val="20"/>
        </w:rPr>
        <w:t>Security Interest for “Obligations”</w:t>
      </w:r>
      <w:r>
        <w:rPr>
          <w:sz w:val="20"/>
          <w:szCs w:val="20"/>
        </w:rPr>
        <w:t xml:space="preserve">.  The term </w:t>
      </w:r>
      <w:r>
        <w:rPr>
          <w:b/>
          <w:bCs/>
          <w:sz w:val="20"/>
          <w:szCs w:val="20"/>
        </w:rPr>
        <w:t>“</w:t>
      </w:r>
      <w:r>
        <w:rPr>
          <w:b/>
          <w:bCs/>
          <w:i/>
          <w:iCs/>
          <w:sz w:val="20"/>
          <w:szCs w:val="20"/>
        </w:rPr>
        <w:t>Obligations</w:t>
      </w:r>
      <w:r>
        <w:rPr>
          <w:b/>
          <w:bCs/>
          <w:sz w:val="20"/>
          <w:szCs w:val="20"/>
        </w:rPr>
        <w:t xml:space="preserve">” </w:t>
      </w:r>
      <w:r>
        <w:rPr>
          <w:sz w:val="20"/>
          <w:szCs w:val="20"/>
        </w:rPr>
        <w:t>as used in this Annex includes the following additional obligations:</w:t>
      </w:r>
    </w:p>
    <w:p>
      <w:pPr>
        <w:pStyle w:val="Normal"/>
        <w:rPr>
          <w:sz w:val="20"/>
          <w:szCs w:val="20"/>
        </w:rPr>
      </w:pPr>
      <w:r>
        <w:rPr>
          <w:sz w:val="20"/>
          <w:szCs w:val="20"/>
        </w:rPr>
      </w:r>
    </w:p>
    <w:p>
      <w:pPr>
        <w:pStyle w:val="Normal"/>
        <w:ind w:firstLine="720" w:end="0"/>
        <w:rPr>
          <w:sz w:val="20"/>
          <w:szCs w:val="20"/>
        </w:rPr>
      </w:pPr>
      <w:r>
        <w:rPr>
          <w:sz w:val="20"/>
          <w:szCs w:val="20"/>
        </w:rPr>
        <w:t>With respect to Party A:</w:t>
        <w:tab/>
        <w:t>None</w:t>
        <w:tab/>
      </w:r>
    </w:p>
    <w:p>
      <w:pPr>
        <w:pStyle w:val="Normal"/>
        <w:rPr>
          <w:sz w:val="20"/>
          <w:szCs w:val="20"/>
        </w:rPr>
      </w:pPr>
      <w:r>
        <w:rPr>
          <w:sz w:val="20"/>
          <w:szCs w:val="20"/>
        </w:rPr>
      </w:r>
    </w:p>
    <w:p>
      <w:pPr>
        <w:pStyle w:val="Normal"/>
        <w:ind w:firstLine="720" w:end="0"/>
        <w:rPr>
          <w:sz w:val="20"/>
          <w:szCs w:val="20"/>
        </w:rPr>
      </w:pPr>
      <w:r>
        <w:rPr>
          <w:sz w:val="20"/>
          <w:szCs w:val="20"/>
        </w:rPr>
        <w:t>With respect to Party B:</w:t>
        <w:tab/>
        <w:t>None</w:t>
      </w:r>
    </w:p>
    <w:p>
      <w:pPr>
        <w:pStyle w:val="Normal"/>
        <w:rPr>
          <w:sz w:val="20"/>
          <w:szCs w:val="20"/>
        </w:rPr>
      </w:pPr>
      <w:r>
        <w:rPr>
          <w:sz w:val="20"/>
          <w:szCs w:val="20"/>
        </w:rPr>
      </w:r>
    </w:p>
    <w:p>
      <w:pPr>
        <w:pStyle w:val="Normal"/>
        <w:rPr>
          <w:sz w:val="20"/>
          <w:szCs w:val="20"/>
        </w:rPr>
      </w:pPr>
      <w:r>
        <w:rPr>
          <w:sz w:val="20"/>
          <w:szCs w:val="20"/>
        </w:rPr>
        <w:t>(b)</w:t>
        <w:tab/>
      </w:r>
      <w:r>
        <w:rPr>
          <w:b/>
          <w:bCs/>
          <w:i/>
          <w:iCs/>
          <w:sz w:val="20"/>
          <w:szCs w:val="20"/>
        </w:rPr>
        <w:t>Credit Support Obligations</w:t>
      </w:r>
      <w:r>
        <w:rPr>
          <w:b/>
          <w:bCs/>
          <w:sz w:val="20"/>
          <w:szCs w:val="20"/>
        </w:rPr>
        <w:t>.</w:t>
      </w:r>
    </w:p>
    <w:p>
      <w:pPr>
        <w:pStyle w:val="Normal"/>
        <w:rPr>
          <w:sz w:val="20"/>
          <w:szCs w:val="20"/>
        </w:rPr>
      </w:pPr>
      <w:r>
        <w:rPr>
          <w:sz w:val="20"/>
          <w:szCs w:val="20"/>
        </w:rPr>
      </w:r>
    </w:p>
    <w:p>
      <w:pPr>
        <w:pStyle w:val="Normal"/>
        <w:ind w:start="720" w:end="0"/>
        <w:rPr>
          <w:sz w:val="20"/>
          <w:szCs w:val="20"/>
        </w:rPr>
      </w:pPr>
      <w:r>
        <w:rPr>
          <w:sz w:val="20"/>
          <w:szCs w:val="20"/>
        </w:rPr>
        <w:t xml:space="preserve">(i) </w:t>
      </w:r>
      <w:r>
        <w:rPr>
          <w:b/>
          <w:bCs/>
          <w:i/>
          <w:iCs/>
          <w:sz w:val="20"/>
          <w:szCs w:val="20"/>
        </w:rPr>
        <w:t>Delivery Amount, Return Amount and Credit Support Amount</w:t>
      </w:r>
      <w:r>
        <w:rPr>
          <w:b/>
          <w:bCs/>
          <w:sz w:val="20"/>
          <w:szCs w:val="20"/>
        </w:rPr>
        <w:t>.</w:t>
      </w:r>
    </w:p>
    <w:p>
      <w:pPr>
        <w:pStyle w:val="Normal"/>
        <w:rPr>
          <w:sz w:val="20"/>
          <w:szCs w:val="20"/>
        </w:rPr>
      </w:pPr>
      <w:r>
        <w:rPr>
          <w:sz w:val="20"/>
          <w:szCs w:val="20"/>
        </w:rPr>
      </w:r>
    </w:p>
    <w:p>
      <w:pPr>
        <w:pStyle w:val="Normal"/>
        <w:ind w:start="1440" w:end="0"/>
        <w:rPr/>
      </w:pPr>
      <w:r>
        <w:rPr>
          <w:sz w:val="20"/>
          <w:szCs w:val="20"/>
        </w:rPr>
        <w:t>(A) “</w:t>
      </w:r>
      <w:r>
        <w:rPr>
          <w:b/>
          <w:bCs/>
          <w:i/>
          <w:iCs/>
          <w:sz w:val="20"/>
          <w:szCs w:val="20"/>
        </w:rPr>
        <w:t>Delivery Amount</w:t>
      </w:r>
      <w:r>
        <w:rPr>
          <w:sz w:val="20"/>
          <w:szCs w:val="20"/>
        </w:rPr>
        <w:t>” has the meaning specified in Paragraph 3(a)</w:t>
      </w:r>
    </w:p>
    <w:p>
      <w:pPr>
        <w:pStyle w:val="Normal"/>
        <w:rPr>
          <w:sz w:val="20"/>
          <w:szCs w:val="20"/>
        </w:rPr>
      </w:pPr>
      <w:r>
        <w:rPr>
          <w:sz w:val="20"/>
          <w:szCs w:val="20"/>
        </w:rPr>
      </w:r>
    </w:p>
    <w:p>
      <w:pPr>
        <w:pStyle w:val="Normal"/>
        <w:ind w:start="1440" w:end="0"/>
        <w:rPr/>
      </w:pPr>
      <w:r>
        <w:rPr>
          <w:sz w:val="20"/>
          <w:szCs w:val="20"/>
        </w:rPr>
        <w:t>(B) “</w:t>
      </w:r>
      <w:r>
        <w:rPr>
          <w:b/>
          <w:bCs/>
          <w:i/>
          <w:iCs/>
          <w:sz w:val="20"/>
          <w:szCs w:val="20"/>
        </w:rPr>
        <w:t>Return Amount</w:t>
      </w:r>
      <w:r>
        <w:rPr>
          <w:sz w:val="20"/>
          <w:szCs w:val="20"/>
        </w:rPr>
        <w:t>” has the meaning specified in Paragraph 3(b)</w:t>
      </w:r>
    </w:p>
    <w:p>
      <w:pPr>
        <w:pStyle w:val="Normal"/>
        <w:rPr>
          <w:sz w:val="20"/>
          <w:szCs w:val="20"/>
        </w:rPr>
      </w:pPr>
      <w:r>
        <w:rPr>
          <w:sz w:val="20"/>
          <w:szCs w:val="20"/>
        </w:rPr>
      </w:r>
    </w:p>
    <w:p>
      <w:pPr>
        <w:pStyle w:val="Normal"/>
        <w:ind w:start="1440" w:end="0"/>
        <w:rPr/>
      </w:pPr>
      <w:r>
        <w:rPr>
          <w:sz w:val="20"/>
          <w:szCs w:val="20"/>
        </w:rPr>
        <w:t>(C) “</w:t>
      </w:r>
      <w:r>
        <w:rPr>
          <w:b/>
          <w:bCs/>
          <w:i/>
          <w:iCs/>
          <w:sz w:val="20"/>
          <w:szCs w:val="20"/>
        </w:rPr>
        <w:t>Credit Support Amount</w:t>
      </w:r>
      <w:r>
        <w:rPr>
          <w:sz w:val="20"/>
          <w:szCs w:val="20"/>
        </w:rPr>
        <w:t>” has the meaning specified in Paragraph 3</w:t>
      </w:r>
    </w:p>
    <w:p>
      <w:pPr>
        <w:pStyle w:val="Normal"/>
        <w:rPr>
          <w:sz w:val="20"/>
          <w:szCs w:val="20"/>
        </w:rPr>
      </w:pPr>
      <w:r>
        <w:rPr>
          <w:sz w:val="20"/>
          <w:szCs w:val="20"/>
        </w:rPr>
      </w:r>
    </w:p>
    <w:p>
      <w:pPr>
        <w:pStyle w:val="Normal"/>
        <w:ind w:start="720" w:end="0"/>
        <w:rPr/>
      </w:pPr>
      <w:r>
        <w:rPr>
          <w:sz w:val="20"/>
          <w:szCs w:val="20"/>
        </w:rPr>
        <w:t xml:space="preserve">(ii) </w:t>
      </w:r>
      <w:r>
        <w:rPr>
          <w:b/>
          <w:bCs/>
          <w:i/>
          <w:iCs/>
          <w:sz w:val="20"/>
          <w:szCs w:val="20"/>
        </w:rPr>
        <w:t>Eligible Collateral</w:t>
      </w:r>
      <w:r>
        <w:rPr>
          <w:sz w:val="20"/>
          <w:szCs w:val="20"/>
        </w:rPr>
        <w:t>.  The following items will qualify as “</w:t>
      </w:r>
      <w:r>
        <w:rPr>
          <w:b/>
          <w:bCs/>
          <w:i/>
          <w:iCs/>
          <w:sz w:val="20"/>
          <w:szCs w:val="20"/>
        </w:rPr>
        <w:t>Eligible Collateral</w:t>
      </w:r>
      <w:r>
        <w:rPr>
          <w:sz w:val="20"/>
          <w:szCs w:val="20"/>
        </w:rPr>
        <w:t>” for the party specified:</w:t>
      </w:r>
    </w:p>
    <w:p>
      <w:pPr>
        <w:pStyle w:val="Normal"/>
        <w:rPr>
          <w:sz w:val="20"/>
          <w:szCs w:val="20"/>
        </w:rPr>
      </w:pPr>
      <w:r>
        <w:rPr>
          <w:sz w:val="20"/>
          <w:szCs w:val="20"/>
        </w:rPr>
      </w:r>
    </w:p>
    <w:tbl>
      <w:tblPr>
        <w:tblW w:w="8730" w:type="dxa"/>
        <w:jc w:val="start"/>
        <w:tblInd w:w="120" w:type="dxa"/>
        <w:tblLayout w:type="fixed"/>
        <w:tblCellMar>
          <w:top w:w="0" w:type="dxa"/>
          <w:start w:w="120" w:type="dxa"/>
          <w:bottom w:w="0" w:type="dxa"/>
          <w:end w:w="120" w:type="dxa"/>
        </w:tblCellMar>
      </w:tblPr>
      <w:tblGrid>
        <w:gridCol w:w="684"/>
        <w:gridCol w:w="4476"/>
        <w:gridCol w:w="1080"/>
        <w:gridCol w:w="1080"/>
        <w:gridCol w:w="1410"/>
      </w:tblGrid>
      <w:tr>
        <w:trPr/>
        <w:tc>
          <w:tcPr>
            <w:tcW w:w="684" w:type="dxa"/>
            <w:tcBorders>
              <w:top w:val="single" w:sz="6" w:space="0" w:color="000000"/>
              <w:start w:val="single" w:sz="6" w:space="0" w:color="000000"/>
              <w:bottom w:val="single" w:sz="6" w:space="0" w:color="000000"/>
              <w:end w:val="single" w:sz="6" w:space="0" w:color="000000"/>
            </w:tcBorders>
          </w:tcPr>
          <w:p>
            <w:pPr>
              <w:pStyle w:val="Normal"/>
              <w:snapToGrid w:val="false"/>
              <w:rPr>
                <w:sz w:val="20"/>
                <w:szCs w:val="20"/>
              </w:rPr>
            </w:pPr>
            <w:r>
              <w:rPr>
                <w:sz w:val="20"/>
                <w:szCs w:val="20"/>
              </w:rPr>
            </w:r>
          </w:p>
        </w:tc>
        <w:tc>
          <w:tcPr>
            <w:tcW w:w="4476" w:type="dxa"/>
            <w:tcBorders>
              <w:top w:val="single" w:sz="6" w:space="0" w:color="000000"/>
              <w:start w:val="single" w:sz="6" w:space="0" w:color="000000"/>
              <w:bottom w:val="single" w:sz="6" w:space="0" w:color="000000"/>
              <w:end w:val="single" w:sz="6" w:space="0" w:color="000000"/>
            </w:tcBorders>
          </w:tcPr>
          <w:p>
            <w:pPr>
              <w:pStyle w:val="Normal"/>
              <w:snapToGrid w:val="false"/>
              <w:rPr>
                <w:sz w:val="20"/>
                <w:szCs w:val="20"/>
              </w:rPr>
            </w:pPr>
            <w:r>
              <w:rPr>
                <w:sz w:val="20"/>
                <w:szCs w:val="20"/>
              </w:rPr>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b/>
                <w:bCs/>
                <w:sz w:val="20"/>
                <w:szCs w:val="20"/>
              </w:rPr>
            </w:pPr>
            <w:r>
              <w:rPr>
                <w:b/>
                <w:bCs/>
                <w:sz w:val="20"/>
                <w:szCs w:val="20"/>
              </w:rPr>
              <w:t>Party A</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b/>
                <w:bCs/>
                <w:sz w:val="20"/>
                <w:szCs w:val="20"/>
              </w:rPr>
            </w:pPr>
            <w:r>
              <w:rPr>
                <w:b/>
                <w:bCs/>
                <w:sz w:val="20"/>
                <w:szCs w:val="20"/>
              </w:rPr>
              <w:t>Party B</w:t>
            </w:r>
          </w:p>
        </w:tc>
        <w:tc>
          <w:tcPr>
            <w:tcW w:w="1410" w:type="dxa"/>
            <w:tcBorders>
              <w:top w:val="single" w:sz="6" w:space="0" w:color="000000"/>
              <w:start w:val="single" w:sz="6" w:space="0" w:color="000000"/>
              <w:bottom w:val="single" w:sz="6" w:space="0" w:color="000000"/>
              <w:end w:val="single" w:sz="6" w:space="0" w:color="000000"/>
            </w:tcBorders>
          </w:tcPr>
          <w:p>
            <w:pPr>
              <w:pStyle w:val="Normal"/>
              <w:jc w:val="center"/>
              <w:rPr>
                <w:b/>
                <w:bCs/>
                <w:sz w:val="20"/>
                <w:szCs w:val="20"/>
              </w:rPr>
            </w:pPr>
            <w:r>
              <w:rPr>
                <w:b/>
                <w:bCs/>
                <w:sz w:val="20"/>
                <w:szCs w:val="20"/>
              </w:rPr>
              <w:t>Valuation</w:t>
            </w:r>
          </w:p>
          <w:p>
            <w:pPr>
              <w:pStyle w:val="Normal"/>
              <w:jc w:val="center"/>
              <w:rPr>
                <w:sz w:val="20"/>
                <w:szCs w:val="20"/>
              </w:rPr>
            </w:pPr>
            <w:r>
              <w:rPr>
                <w:b/>
                <w:bCs/>
                <w:sz w:val="20"/>
                <w:szCs w:val="20"/>
              </w:rPr>
              <w:t>Percentage</w:t>
            </w:r>
          </w:p>
        </w:tc>
      </w:tr>
      <w:tr>
        <w:trPr/>
        <w:tc>
          <w:tcPr>
            <w:tcW w:w="684" w:type="dxa"/>
            <w:tcBorders>
              <w:top w:val="single" w:sz="6" w:space="0" w:color="000000"/>
              <w:start w:val="single" w:sz="6" w:space="0" w:color="000000"/>
              <w:bottom w:val="single" w:sz="6" w:space="0" w:color="000000"/>
              <w:end w:val="single" w:sz="6" w:space="0" w:color="000000"/>
            </w:tcBorders>
          </w:tcPr>
          <w:p>
            <w:pPr>
              <w:pStyle w:val="Normal"/>
              <w:rPr>
                <w:sz w:val="20"/>
                <w:szCs w:val="20"/>
              </w:rPr>
            </w:pPr>
            <w:r>
              <w:rPr>
                <w:sz w:val="20"/>
                <w:szCs w:val="20"/>
              </w:rPr>
              <w:t>(A)</w:t>
            </w:r>
          </w:p>
        </w:tc>
        <w:tc>
          <w:tcPr>
            <w:tcW w:w="4476" w:type="dxa"/>
            <w:tcBorders>
              <w:top w:val="single" w:sz="6" w:space="0" w:color="000000"/>
              <w:start w:val="single" w:sz="6" w:space="0" w:color="000000"/>
              <w:bottom w:val="single" w:sz="6" w:space="0" w:color="000000"/>
              <w:end w:val="single" w:sz="6" w:space="0" w:color="000000"/>
            </w:tcBorders>
          </w:tcPr>
          <w:p>
            <w:pPr>
              <w:pStyle w:val="Normal"/>
              <w:rPr>
                <w:sz w:val="20"/>
                <w:szCs w:val="20"/>
              </w:rPr>
            </w:pPr>
            <w:r>
              <w:rPr>
                <w:sz w:val="20"/>
                <w:szCs w:val="20"/>
              </w:rPr>
              <w:t>Cash</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sz w:val="20"/>
                <w:szCs w:val="20"/>
              </w:rPr>
            </w:pPr>
            <w:r>
              <w:rPr>
                <w:sz w:val="20"/>
                <w:szCs w:val="20"/>
              </w:rPr>
              <w:t>[ x ]</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sz w:val="20"/>
                <w:szCs w:val="20"/>
              </w:rPr>
            </w:pPr>
            <w:r>
              <w:rPr>
                <w:sz w:val="20"/>
                <w:szCs w:val="20"/>
              </w:rPr>
              <w:t>[ x ]</w:t>
            </w:r>
          </w:p>
        </w:tc>
        <w:tc>
          <w:tcPr>
            <w:tcW w:w="1410" w:type="dxa"/>
            <w:tcBorders>
              <w:top w:val="single" w:sz="6" w:space="0" w:color="000000"/>
              <w:start w:val="single" w:sz="6" w:space="0" w:color="000000"/>
              <w:bottom w:val="single" w:sz="6" w:space="0" w:color="000000"/>
              <w:end w:val="single" w:sz="6" w:space="0" w:color="000000"/>
            </w:tcBorders>
          </w:tcPr>
          <w:p>
            <w:pPr>
              <w:pStyle w:val="Normal"/>
              <w:jc w:val="center"/>
              <w:rPr>
                <w:sz w:val="20"/>
                <w:szCs w:val="20"/>
              </w:rPr>
            </w:pPr>
            <w:r>
              <w:rPr>
                <w:sz w:val="20"/>
                <w:szCs w:val="20"/>
              </w:rPr>
              <w:t>100%</w:t>
            </w:r>
          </w:p>
        </w:tc>
      </w:tr>
      <w:tr>
        <w:trPr/>
        <w:tc>
          <w:tcPr>
            <w:tcW w:w="684" w:type="dxa"/>
            <w:tcBorders>
              <w:top w:val="single" w:sz="6" w:space="0" w:color="000000"/>
              <w:start w:val="single" w:sz="6" w:space="0" w:color="000000"/>
              <w:bottom w:val="single" w:sz="6" w:space="0" w:color="000000"/>
              <w:end w:val="single" w:sz="6" w:space="0" w:color="000000"/>
            </w:tcBorders>
          </w:tcPr>
          <w:p>
            <w:pPr>
              <w:pStyle w:val="Normal"/>
              <w:rPr>
                <w:sz w:val="20"/>
                <w:szCs w:val="20"/>
              </w:rPr>
            </w:pPr>
            <w:r>
              <w:rPr>
                <w:sz w:val="20"/>
                <w:szCs w:val="20"/>
              </w:rPr>
              <w:t>(B)</w:t>
            </w:r>
          </w:p>
        </w:tc>
        <w:tc>
          <w:tcPr>
            <w:tcW w:w="4476" w:type="dxa"/>
            <w:tcBorders>
              <w:top w:val="single" w:sz="6" w:space="0" w:color="000000"/>
              <w:start w:val="single" w:sz="6" w:space="0" w:color="000000"/>
              <w:bottom w:val="single" w:sz="6" w:space="0" w:color="000000"/>
              <w:end w:val="single" w:sz="6" w:space="0" w:color="000000"/>
            </w:tcBorders>
          </w:tcPr>
          <w:p>
            <w:pPr>
              <w:pStyle w:val="Normal"/>
              <w:rPr>
                <w:sz w:val="20"/>
                <w:szCs w:val="20"/>
              </w:rPr>
            </w:pPr>
            <w:r>
              <w:rPr>
                <w:sz w:val="20"/>
                <w:szCs w:val="20"/>
              </w:rPr>
              <w:t>negotiable debt obligations issued by the U.S. Treasury Department</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sz w:val="20"/>
                <w:szCs w:val="20"/>
              </w:rPr>
            </w:pPr>
            <w:r>
              <w:rPr>
                <w:sz w:val="20"/>
                <w:szCs w:val="20"/>
              </w:rPr>
              <w:t>[ x ]</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sz w:val="20"/>
                <w:szCs w:val="20"/>
              </w:rPr>
            </w:pPr>
            <w:r>
              <w:rPr>
                <w:sz w:val="20"/>
                <w:szCs w:val="20"/>
              </w:rPr>
              <w:t>[ x ]</w:t>
            </w:r>
          </w:p>
        </w:tc>
        <w:tc>
          <w:tcPr>
            <w:tcW w:w="1410" w:type="dxa"/>
            <w:tcBorders>
              <w:top w:val="single" w:sz="6" w:space="0" w:color="000000"/>
              <w:start w:val="single" w:sz="6" w:space="0" w:color="000000"/>
              <w:bottom w:val="single" w:sz="6" w:space="0" w:color="000000"/>
              <w:end w:val="single" w:sz="6" w:space="0" w:color="000000"/>
            </w:tcBorders>
          </w:tcPr>
          <w:p>
            <w:pPr>
              <w:pStyle w:val="Normal"/>
              <w:jc w:val="center"/>
              <w:rPr>
                <w:sz w:val="20"/>
                <w:szCs w:val="20"/>
              </w:rPr>
            </w:pPr>
            <w:r>
              <w:rPr>
                <w:sz w:val="20"/>
                <w:szCs w:val="20"/>
              </w:rPr>
              <w:t>100%</w:t>
            </w:r>
          </w:p>
        </w:tc>
      </w:tr>
      <w:tr>
        <w:trPr/>
        <w:tc>
          <w:tcPr>
            <w:tcW w:w="684" w:type="dxa"/>
            <w:tcBorders>
              <w:top w:val="single" w:sz="6" w:space="0" w:color="000000"/>
              <w:start w:val="single" w:sz="6" w:space="0" w:color="000000"/>
              <w:bottom w:val="single" w:sz="6" w:space="0" w:color="000000"/>
              <w:end w:val="single" w:sz="6" w:space="0" w:color="000000"/>
            </w:tcBorders>
          </w:tcPr>
          <w:p>
            <w:pPr>
              <w:pStyle w:val="Normal"/>
              <w:rPr>
                <w:sz w:val="20"/>
                <w:szCs w:val="20"/>
              </w:rPr>
            </w:pPr>
            <w:r>
              <w:rPr>
                <w:sz w:val="20"/>
                <w:szCs w:val="20"/>
              </w:rPr>
              <w:t>(C)</w:t>
            </w:r>
          </w:p>
        </w:tc>
        <w:tc>
          <w:tcPr>
            <w:tcW w:w="4476" w:type="dxa"/>
            <w:tcBorders>
              <w:top w:val="single" w:sz="6" w:space="0" w:color="000000"/>
              <w:start w:val="single" w:sz="6" w:space="0" w:color="000000"/>
              <w:bottom w:val="single" w:sz="6" w:space="0" w:color="000000"/>
              <w:end w:val="single" w:sz="6" w:space="0" w:color="000000"/>
            </w:tcBorders>
          </w:tcPr>
          <w:p>
            <w:pPr>
              <w:pStyle w:val="Normal"/>
              <w:tabs>
                <w:tab w:val="clear" w:pos="720"/>
                <w:tab w:val="right" w:pos="4386" w:leader="dot"/>
              </w:tabs>
              <w:rPr>
                <w:sz w:val="20"/>
                <w:szCs w:val="20"/>
              </w:rPr>
            </w:pPr>
            <w:r>
              <w:rPr>
                <w:sz w:val="20"/>
                <w:szCs w:val="20"/>
              </w:rPr>
              <w:t xml:space="preserve">other: </w:t>
              <w:tab/>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sz w:val="20"/>
                <w:szCs w:val="20"/>
              </w:rPr>
            </w:pPr>
            <w:r>
              <w:rPr>
                <w:sz w:val="20"/>
                <w:szCs w:val="20"/>
              </w:rPr>
              <w:t>[   ]</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sz w:val="20"/>
                <w:szCs w:val="20"/>
              </w:rPr>
            </w:pPr>
            <w:r>
              <w:rPr>
                <w:sz w:val="20"/>
                <w:szCs w:val="20"/>
              </w:rPr>
              <w:t>[   ]</w:t>
            </w:r>
          </w:p>
        </w:tc>
        <w:tc>
          <w:tcPr>
            <w:tcW w:w="1410" w:type="dxa"/>
            <w:tcBorders>
              <w:top w:val="single" w:sz="6" w:space="0" w:color="000000"/>
              <w:start w:val="single" w:sz="6" w:space="0" w:color="000000"/>
              <w:bottom w:val="single" w:sz="6" w:space="0" w:color="000000"/>
              <w:end w:val="single" w:sz="6" w:space="0" w:color="000000"/>
            </w:tcBorders>
          </w:tcPr>
          <w:p>
            <w:pPr>
              <w:pStyle w:val="Normal"/>
              <w:jc w:val="center"/>
              <w:rPr>
                <w:sz w:val="20"/>
                <w:szCs w:val="20"/>
              </w:rPr>
            </w:pPr>
            <w:r>
              <w:rPr>
                <w:sz w:val="20"/>
                <w:szCs w:val="20"/>
              </w:rPr>
              <w:t>[   ]%</w:t>
            </w:r>
          </w:p>
        </w:tc>
      </w:tr>
    </w:tbl>
    <w:p>
      <w:pPr>
        <w:pStyle w:val="Normal"/>
        <w:rPr>
          <w:sz w:val="20"/>
        </w:rPr>
      </w:pPr>
      <w:r>
        <w:rPr>
          <w:sz w:val="20"/>
        </w:rPr>
      </w:r>
    </w:p>
    <w:p>
      <w:pPr>
        <w:pStyle w:val="Normal"/>
        <w:rPr/>
      </w:pPr>
      <w:r>
        <w:rPr>
          <w:sz w:val="20"/>
          <w:szCs w:val="20"/>
        </w:rPr>
        <w:t xml:space="preserve">(iv) </w:t>
      </w:r>
      <w:r>
        <w:rPr>
          <w:b/>
          <w:bCs/>
          <w:i/>
          <w:iCs/>
          <w:sz w:val="20"/>
          <w:szCs w:val="20"/>
        </w:rPr>
        <w:t>Thresholds</w:t>
      </w:r>
      <w:r>
        <w:rPr>
          <w:sz w:val="20"/>
          <w:szCs w:val="20"/>
        </w:rPr>
        <w:t>.</w:t>
      </w:r>
    </w:p>
    <w:p>
      <w:pPr>
        <w:pStyle w:val="Normal"/>
        <w:rPr>
          <w:sz w:val="20"/>
          <w:szCs w:val="20"/>
        </w:rPr>
      </w:pPr>
      <w:r>
        <w:rPr>
          <w:sz w:val="20"/>
          <w:szCs w:val="20"/>
        </w:rPr>
      </w:r>
    </w:p>
    <w:p>
      <w:pPr>
        <w:pStyle w:val="Normal"/>
        <w:ind w:firstLine="720" w:end="0"/>
        <w:rPr/>
      </w:pPr>
      <w:r>
        <w:rPr>
          <w:sz w:val="20"/>
          <w:szCs w:val="20"/>
        </w:rPr>
        <w:t>(A)</w:t>
        <w:tab/>
        <w:t>“</w:t>
      </w:r>
      <w:r>
        <w:rPr>
          <w:b/>
          <w:bCs/>
          <w:i/>
          <w:iCs/>
          <w:sz w:val="20"/>
          <w:szCs w:val="20"/>
        </w:rPr>
        <w:t>Independent Amount</w:t>
      </w:r>
      <w:r>
        <w:rPr>
          <w:sz w:val="20"/>
          <w:szCs w:val="20"/>
        </w:rPr>
        <w:t>” means with respect to Party A:    None</w:t>
      </w:r>
    </w:p>
    <w:p>
      <w:pPr>
        <w:pStyle w:val="Normal"/>
        <w:ind w:firstLine="1440" w:end="0"/>
        <w:rPr/>
      </w:pPr>
      <w:r>
        <w:rPr>
          <w:sz w:val="20"/>
          <w:szCs w:val="20"/>
        </w:rPr>
        <w:t>“</w:t>
      </w:r>
      <w:r>
        <w:rPr>
          <w:b/>
          <w:bCs/>
          <w:i/>
          <w:iCs/>
          <w:sz w:val="20"/>
          <w:szCs w:val="20"/>
        </w:rPr>
        <w:t>Independent Amount</w:t>
      </w:r>
      <w:r>
        <w:rPr>
          <w:sz w:val="20"/>
          <w:szCs w:val="20"/>
        </w:rPr>
        <w:t>” means with respect to Party B:    None</w:t>
      </w:r>
    </w:p>
    <w:p>
      <w:pPr>
        <w:pStyle w:val="Normal"/>
        <w:rPr>
          <w:sz w:val="20"/>
          <w:szCs w:val="20"/>
        </w:rPr>
      </w:pPr>
      <w:r>
        <w:rPr>
          <w:sz w:val="20"/>
          <w:szCs w:val="20"/>
        </w:rPr>
      </w:r>
    </w:p>
    <w:p>
      <w:pPr>
        <w:pStyle w:val="Normal"/>
        <w:ind w:firstLine="720" w:end="0"/>
        <w:rPr>
          <w:sz w:val="20"/>
        </w:rPr>
      </w:pPr>
      <w:r>
        <w:rPr>
          <w:sz w:val="20"/>
          <w:szCs w:val="20"/>
        </w:rPr>
        <w:t>(B)</w:t>
        <w:tab/>
        <w:t>“</w:t>
      </w:r>
      <w:r>
        <w:rPr>
          <w:b/>
          <w:bCs/>
          <w:i/>
          <w:iCs/>
          <w:sz w:val="20"/>
          <w:szCs w:val="20"/>
        </w:rPr>
        <w:t>Threshold</w:t>
      </w:r>
      <w:r>
        <w:rPr>
          <w:sz w:val="20"/>
          <w:szCs w:val="20"/>
        </w:rPr>
        <w:t>” means with respect to each of Party A and Party B, the amount set forth in the following table opposite the lowest Credit Rating of such party (or, if Party A has a Credit Support Provider, Party’s A’s Credit Support Provider):&lt;Font|Times New Roman Regular&gt;</w:t>
      </w:r>
    </w:p>
    <w:p>
      <w:pPr>
        <w:pStyle w:val="Normal"/>
        <w:rPr>
          <w:sz w:val="20"/>
        </w:rPr>
      </w:pPr>
      <w:r>
        <w:rPr>
          <w:sz w:val="20"/>
        </w:rPr>
      </w:r>
    </w:p>
    <w:tbl>
      <w:tblPr>
        <w:tblW w:w="8730" w:type="dxa"/>
        <w:jc w:val="start"/>
        <w:tblInd w:w="135" w:type="dxa"/>
        <w:tblLayout w:type="fixed"/>
        <w:tblCellMar>
          <w:top w:w="0" w:type="dxa"/>
          <w:start w:w="135" w:type="dxa"/>
          <w:bottom w:w="0" w:type="dxa"/>
          <w:end w:w="135" w:type="dxa"/>
        </w:tblCellMar>
      </w:tblPr>
      <w:tblGrid>
        <w:gridCol w:w="2790"/>
        <w:gridCol w:w="3060"/>
        <w:gridCol w:w="2880"/>
      </w:tblGrid>
      <w:tr>
        <w:trPr/>
        <w:tc>
          <w:tcPr>
            <w:tcW w:w="2790" w:type="dxa"/>
            <w:tcBorders>
              <w:top w:val="double" w:sz="6" w:space="0" w:color="000000"/>
              <w:start w:val="double" w:sz="6" w:space="0" w:color="000000"/>
              <w:bottom w:val="single" w:sz="6" w:space="0" w:color="000000"/>
              <w:end w:val="single" w:sz="6" w:space="0" w:color="000000"/>
            </w:tcBorders>
          </w:tcPr>
          <w:p>
            <w:pPr>
              <w:pStyle w:val="Normal"/>
              <w:jc w:val="center"/>
              <w:rPr>
                <w:sz w:val="20"/>
                <w:szCs w:val="20"/>
              </w:rPr>
            </w:pPr>
            <w:r>
              <w:rPr>
                <w:b/>
                <w:bCs/>
                <w:sz w:val="20"/>
                <w:szCs w:val="20"/>
              </w:rPr>
              <w:t>S&amp;P Credit Rating*</w:t>
            </w:r>
          </w:p>
        </w:tc>
        <w:tc>
          <w:tcPr>
            <w:tcW w:w="3060" w:type="dxa"/>
            <w:tcBorders>
              <w:top w:val="double" w:sz="6" w:space="0" w:color="000000"/>
              <w:start w:val="single" w:sz="6" w:space="0" w:color="000000"/>
              <w:bottom w:val="single" w:sz="6" w:space="0" w:color="000000"/>
              <w:end w:val="single" w:sz="6" w:space="0" w:color="000000"/>
            </w:tcBorders>
          </w:tcPr>
          <w:p>
            <w:pPr>
              <w:pStyle w:val="Normal"/>
              <w:jc w:val="center"/>
              <w:rPr>
                <w:sz w:val="20"/>
                <w:szCs w:val="20"/>
              </w:rPr>
            </w:pPr>
            <w:r>
              <w:rPr>
                <w:rFonts w:cs="CG Times" w:ascii="CG Times" w:hAnsi="CG Times"/>
                <w:b/>
                <w:bCs/>
                <w:sz w:val="20"/>
                <w:szCs w:val="20"/>
              </w:rPr>
              <w:t>Moody’s Credit Rating*</w:t>
            </w:r>
          </w:p>
        </w:tc>
        <w:tc>
          <w:tcPr>
            <w:tcW w:w="2880" w:type="dxa"/>
            <w:tcBorders>
              <w:top w:val="double" w:sz="6" w:space="0" w:color="000000"/>
              <w:start w:val="single" w:sz="6" w:space="0" w:color="000000"/>
              <w:bottom w:val="single" w:sz="6" w:space="0" w:color="000000"/>
              <w:end w:val="double" w:sz="6" w:space="0" w:color="000000"/>
            </w:tcBorders>
          </w:tcPr>
          <w:p>
            <w:pPr>
              <w:pStyle w:val="Normal"/>
              <w:jc w:val="center"/>
              <w:rPr>
                <w:sz w:val="20"/>
                <w:szCs w:val="20"/>
              </w:rPr>
            </w:pPr>
            <w:r>
              <w:rPr>
                <w:b/>
                <w:bCs/>
                <w:sz w:val="20"/>
                <w:szCs w:val="20"/>
              </w:rPr>
              <w:t>Threshold Amount</w:t>
            </w:r>
          </w:p>
        </w:tc>
      </w:tr>
      <w:tr>
        <w:trPr/>
        <w:tc>
          <w:tcPr>
            <w:tcW w:w="2790" w:type="dxa"/>
            <w:tcBorders>
              <w:top w:val="single" w:sz="6" w:space="0" w:color="000000"/>
              <w:start w:val="double" w:sz="6" w:space="0" w:color="000000"/>
              <w:end w:val="single" w:sz="6" w:space="0" w:color="000000"/>
            </w:tcBorders>
          </w:tcPr>
          <w:p>
            <w:pPr>
              <w:pStyle w:val="Normal"/>
              <w:jc w:val="center"/>
              <w:rPr>
                <w:sz w:val="20"/>
                <w:szCs w:val="20"/>
              </w:rPr>
            </w:pPr>
            <w:r>
              <w:rPr>
                <w:sz w:val="20"/>
                <w:szCs w:val="20"/>
              </w:rPr>
              <w:t>AA- or higher</w:t>
            </w:r>
          </w:p>
        </w:tc>
        <w:tc>
          <w:tcPr>
            <w:tcW w:w="3060" w:type="dxa"/>
            <w:tcBorders>
              <w:top w:val="single" w:sz="6" w:space="0" w:color="000000"/>
              <w:start w:val="single" w:sz="6" w:space="0" w:color="000000"/>
              <w:end w:val="single" w:sz="6" w:space="0" w:color="000000"/>
            </w:tcBorders>
          </w:tcPr>
          <w:p>
            <w:pPr>
              <w:pStyle w:val="Normal"/>
              <w:tabs>
                <w:tab w:val="clear" w:pos="720"/>
                <w:tab w:val="center" w:pos="1395" w:leader="none"/>
              </w:tabs>
              <w:rPr>
                <w:sz w:val="20"/>
                <w:szCs w:val="20"/>
              </w:rPr>
            </w:pPr>
            <w:r>
              <w:rPr>
                <w:sz w:val="20"/>
                <w:szCs w:val="20"/>
              </w:rPr>
              <w:tab/>
              <w:t>Aa3 or higher</w:t>
            </w:r>
          </w:p>
        </w:tc>
        <w:tc>
          <w:tcPr>
            <w:tcW w:w="2880" w:type="dxa"/>
            <w:tcBorders>
              <w:top w:val="single" w:sz="6" w:space="0" w:color="000000"/>
              <w:start w:val="single" w:sz="6" w:space="0" w:color="000000"/>
              <w:end w:val="double" w:sz="6" w:space="0" w:color="000000"/>
            </w:tcBorders>
          </w:tcPr>
          <w:p>
            <w:pPr>
              <w:pStyle w:val="Normal"/>
              <w:tabs>
                <w:tab w:val="clear" w:pos="720"/>
                <w:tab w:val="center" w:pos="1305" w:leader="none"/>
              </w:tabs>
              <w:rPr>
                <w:sz w:val="20"/>
                <w:szCs w:val="20"/>
              </w:rPr>
            </w:pPr>
            <w:r>
              <w:rPr>
                <w:sz w:val="20"/>
                <w:szCs w:val="20"/>
              </w:rPr>
              <w:tab/>
              <w:t>$50,000,000</w:t>
            </w:r>
          </w:p>
        </w:tc>
      </w:tr>
      <w:tr>
        <w:trPr/>
        <w:tc>
          <w:tcPr>
            <w:tcW w:w="2790" w:type="dxa"/>
            <w:tcBorders>
              <w:start w:val="double" w:sz="6" w:space="0" w:color="000000"/>
              <w:bottom w:val="single" w:sz="6" w:space="0" w:color="000000"/>
              <w:end w:val="single" w:sz="6" w:space="0" w:color="000000"/>
            </w:tcBorders>
          </w:tcPr>
          <w:p>
            <w:pPr>
              <w:pStyle w:val="Normal"/>
              <w:jc w:val="center"/>
              <w:rPr>
                <w:sz w:val="20"/>
                <w:szCs w:val="20"/>
              </w:rPr>
            </w:pPr>
            <w:r>
              <w:rPr>
                <w:sz w:val="20"/>
                <w:szCs w:val="20"/>
              </w:rPr>
              <w:t>A+, A, A-</w:t>
            </w:r>
          </w:p>
        </w:tc>
        <w:tc>
          <w:tcPr>
            <w:tcW w:w="3060" w:type="dxa"/>
            <w:tcBorders>
              <w:start w:val="single" w:sz="6" w:space="0" w:color="000000"/>
              <w:bottom w:val="single" w:sz="6" w:space="0" w:color="000000"/>
              <w:end w:val="single" w:sz="6" w:space="0" w:color="000000"/>
            </w:tcBorders>
          </w:tcPr>
          <w:p>
            <w:pPr>
              <w:pStyle w:val="Normal"/>
              <w:tabs>
                <w:tab w:val="clear" w:pos="720"/>
                <w:tab w:val="center" w:pos="1395" w:leader="none"/>
              </w:tabs>
              <w:rPr>
                <w:sz w:val="20"/>
                <w:szCs w:val="20"/>
              </w:rPr>
            </w:pPr>
            <w:r>
              <w:rPr>
                <w:sz w:val="20"/>
                <w:szCs w:val="20"/>
              </w:rPr>
              <w:tab/>
              <w:t>A1, A2, A3</w:t>
            </w:r>
          </w:p>
        </w:tc>
        <w:tc>
          <w:tcPr>
            <w:tcW w:w="2880" w:type="dxa"/>
            <w:tcBorders>
              <w:start w:val="single" w:sz="6" w:space="0" w:color="000000"/>
              <w:bottom w:val="single" w:sz="6" w:space="0" w:color="000000"/>
              <w:end w:val="double" w:sz="6" w:space="0" w:color="000000"/>
            </w:tcBorders>
          </w:tcPr>
          <w:p>
            <w:pPr>
              <w:pStyle w:val="Normal"/>
              <w:tabs>
                <w:tab w:val="clear" w:pos="720"/>
                <w:tab w:val="center" w:pos="1305" w:leader="none"/>
              </w:tabs>
              <w:rPr>
                <w:sz w:val="20"/>
                <w:szCs w:val="20"/>
              </w:rPr>
            </w:pPr>
            <w:r>
              <w:rPr>
                <w:sz w:val="20"/>
                <w:szCs w:val="20"/>
              </w:rPr>
              <w:tab/>
              <w:t>$30,000,000</w:t>
            </w:r>
          </w:p>
        </w:tc>
      </w:tr>
      <w:tr>
        <w:trPr/>
        <w:tc>
          <w:tcPr>
            <w:tcW w:w="2790" w:type="dxa"/>
            <w:tcBorders>
              <w:top w:val="single" w:sz="6" w:space="0" w:color="000000"/>
              <w:start w:val="double" w:sz="6" w:space="0" w:color="000000"/>
              <w:bottom w:val="single" w:sz="6" w:space="0" w:color="000000"/>
              <w:end w:val="single" w:sz="6" w:space="0" w:color="000000"/>
            </w:tcBorders>
          </w:tcPr>
          <w:p>
            <w:pPr>
              <w:pStyle w:val="Normal"/>
              <w:jc w:val="center"/>
              <w:rPr>
                <w:sz w:val="20"/>
                <w:szCs w:val="20"/>
              </w:rPr>
            </w:pPr>
            <w:r>
              <w:rPr>
                <w:sz w:val="20"/>
                <w:szCs w:val="20"/>
              </w:rPr>
              <w:t>BBB+</w:t>
            </w:r>
          </w:p>
        </w:tc>
        <w:tc>
          <w:tcPr>
            <w:tcW w:w="3060" w:type="dxa"/>
            <w:tcBorders>
              <w:top w:val="single" w:sz="6" w:space="0" w:color="000000"/>
              <w:start w:val="single" w:sz="6" w:space="0" w:color="000000"/>
              <w:bottom w:val="single" w:sz="6" w:space="0" w:color="000000"/>
              <w:end w:val="single" w:sz="6" w:space="0" w:color="000000"/>
            </w:tcBorders>
          </w:tcPr>
          <w:p>
            <w:pPr>
              <w:pStyle w:val="Normal"/>
              <w:tabs>
                <w:tab w:val="clear" w:pos="720"/>
                <w:tab w:val="center" w:pos="1395" w:leader="none"/>
              </w:tabs>
              <w:rPr>
                <w:sz w:val="20"/>
                <w:szCs w:val="20"/>
              </w:rPr>
            </w:pPr>
            <w:r>
              <w:rPr>
                <w:sz w:val="20"/>
                <w:szCs w:val="20"/>
              </w:rPr>
              <w:tab/>
              <w:t>Baa1</w:t>
            </w:r>
          </w:p>
        </w:tc>
        <w:tc>
          <w:tcPr>
            <w:tcW w:w="2880" w:type="dxa"/>
            <w:tcBorders>
              <w:top w:val="single" w:sz="6" w:space="0" w:color="000000"/>
              <w:start w:val="single" w:sz="6" w:space="0" w:color="000000"/>
              <w:bottom w:val="single" w:sz="6" w:space="0" w:color="000000"/>
              <w:end w:val="double" w:sz="6" w:space="0" w:color="000000"/>
            </w:tcBorders>
          </w:tcPr>
          <w:p>
            <w:pPr>
              <w:pStyle w:val="Normal"/>
              <w:tabs>
                <w:tab w:val="clear" w:pos="720"/>
                <w:tab w:val="center" w:pos="1305" w:leader="none"/>
              </w:tabs>
              <w:rPr>
                <w:sz w:val="20"/>
                <w:szCs w:val="20"/>
              </w:rPr>
            </w:pPr>
            <w:r>
              <w:rPr>
                <w:sz w:val="20"/>
                <w:szCs w:val="20"/>
              </w:rPr>
              <w:tab/>
              <w:t>$20,000,000</w:t>
            </w:r>
          </w:p>
        </w:tc>
      </w:tr>
      <w:tr>
        <w:trPr/>
        <w:tc>
          <w:tcPr>
            <w:tcW w:w="2790" w:type="dxa"/>
            <w:tcBorders>
              <w:top w:val="single" w:sz="6" w:space="0" w:color="000000"/>
              <w:start w:val="double" w:sz="6" w:space="0" w:color="000000"/>
              <w:bottom w:val="single" w:sz="6" w:space="0" w:color="000000"/>
              <w:end w:val="single" w:sz="6" w:space="0" w:color="000000"/>
            </w:tcBorders>
          </w:tcPr>
          <w:p>
            <w:pPr>
              <w:pStyle w:val="Normal"/>
              <w:jc w:val="center"/>
              <w:rPr>
                <w:sz w:val="20"/>
                <w:szCs w:val="20"/>
              </w:rPr>
            </w:pPr>
            <w:r>
              <w:rPr>
                <w:sz w:val="20"/>
                <w:szCs w:val="20"/>
              </w:rPr>
              <w:t>BBB</w:t>
            </w:r>
          </w:p>
        </w:tc>
        <w:tc>
          <w:tcPr>
            <w:tcW w:w="3060" w:type="dxa"/>
            <w:tcBorders>
              <w:top w:val="single" w:sz="6" w:space="0" w:color="000000"/>
              <w:start w:val="single" w:sz="6" w:space="0" w:color="000000"/>
              <w:bottom w:val="single" w:sz="6" w:space="0" w:color="000000"/>
              <w:end w:val="single" w:sz="6" w:space="0" w:color="000000"/>
            </w:tcBorders>
          </w:tcPr>
          <w:p>
            <w:pPr>
              <w:pStyle w:val="Normal"/>
              <w:tabs>
                <w:tab w:val="clear" w:pos="720"/>
                <w:tab w:val="center" w:pos="1395" w:leader="none"/>
              </w:tabs>
              <w:rPr>
                <w:sz w:val="20"/>
                <w:szCs w:val="20"/>
              </w:rPr>
            </w:pPr>
            <w:r>
              <w:rPr>
                <w:sz w:val="20"/>
                <w:szCs w:val="20"/>
              </w:rPr>
              <w:tab/>
              <w:t>Baa2</w:t>
            </w:r>
          </w:p>
        </w:tc>
        <w:tc>
          <w:tcPr>
            <w:tcW w:w="2880" w:type="dxa"/>
            <w:tcBorders>
              <w:top w:val="single" w:sz="6" w:space="0" w:color="000000"/>
              <w:start w:val="single" w:sz="6" w:space="0" w:color="000000"/>
              <w:bottom w:val="single" w:sz="6" w:space="0" w:color="000000"/>
              <w:end w:val="double" w:sz="6" w:space="0" w:color="000000"/>
            </w:tcBorders>
          </w:tcPr>
          <w:p>
            <w:pPr>
              <w:pStyle w:val="Normal"/>
              <w:tabs>
                <w:tab w:val="clear" w:pos="720"/>
                <w:tab w:val="center" w:pos="1305" w:leader="none"/>
              </w:tabs>
              <w:rPr>
                <w:sz w:val="20"/>
                <w:szCs w:val="20"/>
              </w:rPr>
            </w:pPr>
            <w:r>
              <w:rPr>
                <w:sz w:val="20"/>
                <w:szCs w:val="20"/>
              </w:rPr>
              <w:tab/>
              <w:t>$15,000,000</w:t>
            </w:r>
          </w:p>
        </w:tc>
      </w:tr>
      <w:tr>
        <w:trPr/>
        <w:tc>
          <w:tcPr>
            <w:tcW w:w="2790" w:type="dxa"/>
            <w:tcBorders>
              <w:top w:val="single" w:sz="6" w:space="0" w:color="000000"/>
              <w:start w:val="double" w:sz="6" w:space="0" w:color="000000"/>
              <w:bottom w:val="single" w:sz="6" w:space="0" w:color="000000"/>
              <w:end w:val="single" w:sz="6" w:space="0" w:color="000000"/>
            </w:tcBorders>
          </w:tcPr>
          <w:p>
            <w:pPr>
              <w:pStyle w:val="Normal"/>
              <w:jc w:val="center"/>
              <w:rPr>
                <w:sz w:val="20"/>
                <w:szCs w:val="20"/>
              </w:rPr>
            </w:pPr>
            <w:r>
              <w:rPr>
                <w:sz w:val="20"/>
                <w:szCs w:val="20"/>
              </w:rPr>
              <w:t>BBB-</w:t>
            </w:r>
          </w:p>
        </w:tc>
        <w:tc>
          <w:tcPr>
            <w:tcW w:w="3060" w:type="dxa"/>
            <w:tcBorders>
              <w:top w:val="single" w:sz="6" w:space="0" w:color="000000"/>
              <w:start w:val="single" w:sz="6" w:space="0" w:color="000000"/>
              <w:bottom w:val="single" w:sz="6" w:space="0" w:color="000000"/>
              <w:end w:val="single" w:sz="6" w:space="0" w:color="000000"/>
            </w:tcBorders>
          </w:tcPr>
          <w:p>
            <w:pPr>
              <w:pStyle w:val="Normal"/>
              <w:tabs>
                <w:tab w:val="clear" w:pos="720"/>
                <w:tab w:val="center" w:pos="1395" w:leader="none"/>
              </w:tabs>
              <w:rPr>
                <w:sz w:val="20"/>
                <w:szCs w:val="20"/>
              </w:rPr>
            </w:pPr>
            <w:r>
              <w:rPr>
                <w:sz w:val="20"/>
                <w:szCs w:val="20"/>
              </w:rPr>
              <w:tab/>
              <w:t>Baa3</w:t>
            </w:r>
          </w:p>
        </w:tc>
        <w:tc>
          <w:tcPr>
            <w:tcW w:w="2880" w:type="dxa"/>
            <w:tcBorders>
              <w:top w:val="single" w:sz="6" w:space="0" w:color="000000"/>
              <w:start w:val="single" w:sz="6" w:space="0" w:color="000000"/>
              <w:bottom w:val="single" w:sz="6" w:space="0" w:color="000000"/>
              <w:end w:val="double" w:sz="6" w:space="0" w:color="000000"/>
            </w:tcBorders>
          </w:tcPr>
          <w:p>
            <w:pPr>
              <w:pStyle w:val="Normal"/>
              <w:tabs>
                <w:tab w:val="clear" w:pos="720"/>
                <w:tab w:val="center" w:pos="1305" w:leader="none"/>
              </w:tabs>
              <w:rPr>
                <w:sz w:val="20"/>
                <w:szCs w:val="20"/>
              </w:rPr>
            </w:pPr>
            <w:r>
              <w:rPr>
                <w:sz w:val="20"/>
                <w:szCs w:val="20"/>
              </w:rPr>
              <w:tab/>
              <w:t>$10,000,000</w:t>
            </w:r>
          </w:p>
        </w:tc>
      </w:tr>
      <w:tr>
        <w:trPr/>
        <w:tc>
          <w:tcPr>
            <w:tcW w:w="2790" w:type="dxa"/>
            <w:tcBorders>
              <w:top w:val="single" w:sz="6" w:space="0" w:color="000000"/>
              <w:start w:val="double" w:sz="6" w:space="0" w:color="000000"/>
              <w:bottom w:val="double" w:sz="6" w:space="0" w:color="000000"/>
              <w:end w:val="single" w:sz="6" w:space="0" w:color="000000"/>
            </w:tcBorders>
          </w:tcPr>
          <w:p>
            <w:pPr>
              <w:pStyle w:val="Normal"/>
              <w:jc w:val="center"/>
              <w:rPr>
                <w:sz w:val="20"/>
                <w:szCs w:val="20"/>
              </w:rPr>
            </w:pPr>
            <w:r>
              <w:rPr>
                <w:sz w:val="20"/>
                <w:szCs w:val="20"/>
              </w:rPr>
              <w:t>lower than BBB- or unrated</w:t>
            </w:r>
          </w:p>
        </w:tc>
        <w:tc>
          <w:tcPr>
            <w:tcW w:w="3060" w:type="dxa"/>
            <w:tcBorders>
              <w:top w:val="single" w:sz="6" w:space="0" w:color="000000"/>
              <w:start w:val="single" w:sz="6" w:space="0" w:color="000000"/>
              <w:bottom w:val="double" w:sz="6" w:space="0" w:color="000000"/>
              <w:end w:val="single" w:sz="6" w:space="0" w:color="000000"/>
            </w:tcBorders>
          </w:tcPr>
          <w:p>
            <w:pPr>
              <w:pStyle w:val="Normal"/>
              <w:tabs>
                <w:tab w:val="clear" w:pos="720"/>
                <w:tab w:val="center" w:pos="1395" w:leader="none"/>
              </w:tabs>
              <w:rPr>
                <w:sz w:val="20"/>
                <w:szCs w:val="20"/>
              </w:rPr>
            </w:pPr>
            <w:r>
              <w:rPr>
                <w:sz w:val="20"/>
                <w:szCs w:val="20"/>
              </w:rPr>
              <w:tab/>
              <w:t>lower than Baa3 or unrated</w:t>
            </w:r>
          </w:p>
        </w:tc>
        <w:tc>
          <w:tcPr>
            <w:tcW w:w="2880" w:type="dxa"/>
            <w:tcBorders>
              <w:top w:val="single" w:sz="6" w:space="0" w:color="000000"/>
              <w:start w:val="single" w:sz="6" w:space="0" w:color="000000"/>
              <w:bottom w:val="double" w:sz="6" w:space="0" w:color="000000"/>
              <w:end w:val="double" w:sz="6" w:space="0" w:color="000000"/>
            </w:tcBorders>
          </w:tcPr>
          <w:p>
            <w:pPr>
              <w:pStyle w:val="Normal"/>
              <w:tabs>
                <w:tab w:val="clear" w:pos="720"/>
                <w:tab w:val="center" w:pos="1305" w:leader="none"/>
              </w:tabs>
              <w:rPr>
                <w:sz w:val="20"/>
                <w:szCs w:val="20"/>
              </w:rPr>
            </w:pPr>
            <w:r>
              <w:rPr>
                <w:sz w:val="20"/>
                <w:szCs w:val="20"/>
              </w:rPr>
              <w:tab/>
              <w:t>$0</w:t>
            </w:r>
          </w:p>
        </w:tc>
      </w:tr>
    </w:tbl>
    <w:p>
      <w:pPr>
        <w:pStyle w:val="Normal"/>
        <w:rPr>
          <w:sz w:val="20"/>
        </w:rPr>
      </w:pPr>
      <w:r>
        <w:rPr>
          <w:sz w:val="20"/>
        </w:rPr>
      </w:r>
    </w:p>
    <w:p>
      <w:pPr>
        <w:pStyle w:val="Normal"/>
        <w:tabs>
          <w:tab w:val="clear" w:pos="720"/>
          <w:tab w:val="left" w:pos="-1440" w:leader="none"/>
        </w:tabs>
        <w:rPr>
          <w:sz w:val="20"/>
          <w:szCs w:val="20"/>
        </w:rPr>
      </w:pPr>
      <w:r>
        <w:rPr>
          <w:sz w:val="20"/>
          <w:szCs w:val="20"/>
        </w:rPr>
        <w:t>*“Credit Rating” means the rating assigned to unsecured, senior, long-term indebtedness (not supported by third party</w:t>
        <w:tab/>
        <w:t>credit enhancement).</w:t>
      </w:r>
    </w:p>
    <w:p>
      <w:pPr>
        <w:pStyle w:val="Normal"/>
        <w:tabs>
          <w:tab w:val="clear" w:pos="720"/>
          <w:tab w:val="left" w:pos="-1440" w:leader="none"/>
        </w:tabs>
        <w:rPr>
          <w:sz w:val="20"/>
          <w:szCs w:val="20"/>
        </w:rPr>
      </w:pPr>
      <w:r>
        <w:rPr>
          <w:sz w:val="20"/>
          <w:szCs w:val="20"/>
        </w:rPr>
        <w:t>“</w:t>
      </w:r>
      <w:r>
        <w:rPr>
          <w:sz w:val="20"/>
          <w:szCs w:val="20"/>
        </w:rPr>
        <w:t>S&amp;P” means Standard and Poor’s Rating Services, a division of The McGraw Hill Companies, Inc., and its successors.</w:t>
      </w:r>
    </w:p>
    <w:p>
      <w:pPr>
        <w:pStyle w:val="Normal"/>
        <w:rPr>
          <w:sz w:val="20"/>
          <w:szCs w:val="20"/>
        </w:rPr>
      </w:pPr>
      <w:r>
        <w:rPr>
          <w:sz w:val="20"/>
          <w:szCs w:val="20"/>
        </w:rPr>
        <w:t>“</w:t>
      </w:r>
      <w:r>
        <w:rPr>
          <w:sz w:val="20"/>
          <w:szCs w:val="20"/>
        </w:rPr>
        <w:t>Moody’s” means Moody’s Investor Services, Inc., and its successors.</w:t>
      </w:r>
      <w:r>
        <w:br w:type="page"/>
      </w:r>
    </w:p>
    <w:p>
      <w:pPr>
        <w:pStyle w:val="Normal"/>
        <w:rPr/>
      </w:pPr>
      <w:r>
        <w:rPr>
          <w:sz w:val="20"/>
          <w:szCs w:val="20"/>
        </w:rPr>
        <w:t>(C)</w:t>
        <w:tab/>
        <w:t>“</w:t>
      </w:r>
      <w:r>
        <w:rPr>
          <w:b/>
          <w:bCs/>
          <w:i/>
          <w:iCs/>
          <w:sz w:val="20"/>
          <w:szCs w:val="20"/>
        </w:rPr>
        <w:t>Minimum Transfer Amount</w:t>
      </w:r>
      <w:r>
        <w:rPr>
          <w:sz w:val="20"/>
          <w:szCs w:val="20"/>
        </w:rPr>
        <w:t>” means with respect to Party A:   $250,000</w:t>
        <w:tab/>
        <w:t>“</w:t>
      </w:r>
      <w:r>
        <w:rPr>
          <w:b/>
          <w:bCs/>
          <w:i/>
          <w:iCs/>
          <w:sz w:val="20"/>
          <w:szCs w:val="20"/>
        </w:rPr>
        <w:t>Minimum Transfer Amount</w:t>
      </w:r>
      <w:r>
        <w:rPr>
          <w:sz w:val="20"/>
          <w:szCs w:val="20"/>
        </w:rPr>
        <w:t>” means with respect to Party B:   $250,000</w:t>
      </w:r>
    </w:p>
    <w:p>
      <w:pPr>
        <w:pStyle w:val="Normal"/>
        <w:tabs>
          <w:tab w:val="clear" w:pos="720"/>
          <w:tab w:val="left" w:pos="-1800" w:leader="none"/>
          <w:tab w:val="left" w:pos="-1080" w:leader="none"/>
          <w:tab w:val="left" w:pos="-36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s>
        <w:ind w:hanging="720" w:start="1080" w:end="0"/>
        <w:rPr>
          <w:sz w:val="20"/>
          <w:szCs w:val="20"/>
        </w:rPr>
      </w:pPr>
      <w:r>
        <w:rPr>
          <w:sz w:val="20"/>
          <w:szCs w:val="20"/>
        </w:rPr>
      </w:r>
    </w:p>
    <w:p>
      <w:pPr>
        <w:pStyle w:val="Normal"/>
        <w:tabs>
          <w:tab w:val="clear" w:pos="720"/>
          <w:tab w:val="left" w:pos="-1800" w:leader="none"/>
          <w:tab w:val="left" w:pos="-1080" w:leader="none"/>
          <w:tab w:val="left" w:pos="-36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s>
        <w:ind w:hanging="720" w:start="720" w:end="0"/>
        <w:rPr/>
      </w:pPr>
      <w:r>
        <w:rPr>
          <w:sz w:val="20"/>
          <w:szCs w:val="20"/>
        </w:rPr>
        <w:t>(D)</w:t>
        <w:tab/>
      </w:r>
      <w:r>
        <w:rPr>
          <w:b/>
          <w:bCs/>
          <w:sz w:val="20"/>
          <w:szCs w:val="20"/>
        </w:rPr>
        <w:t>Rounding</w:t>
      </w:r>
      <w:r>
        <w:rPr>
          <w:sz w:val="20"/>
          <w:szCs w:val="20"/>
        </w:rPr>
        <w:t>.  The Delivery Amount and the Return Amount will be rounded down to the nearest integral multiple of $50,000.</w:t>
      </w:r>
    </w:p>
    <w:p>
      <w:pPr>
        <w:pStyle w:val="Normal"/>
        <w:tabs>
          <w:tab w:val="clear" w:pos="720"/>
          <w:tab w:val="left" w:pos="-1800" w:leader="none"/>
          <w:tab w:val="left" w:pos="-1080" w:leader="none"/>
          <w:tab w:val="left" w:pos="-36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s>
        <w:rPr>
          <w:sz w:val="20"/>
          <w:szCs w:val="20"/>
        </w:rPr>
      </w:pPr>
      <w:r>
        <w:rPr>
          <w:sz w:val="20"/>
          <w:szCs w:val="20"/>
        </w:rPr>
      </w:r>
    </w:p>
    <w:p>
      <w:pPr>
        <w:pStyle w:val="Normal"/>
        <w:tabs>
          <w:tab w:val="clear" w:pos="720"/>
          <w:tab w:val="left" w:pos="-1800" w:leader="none"/>
          <w:tab w:val="left" w:pos="-1080" w:leader="none"/>
          <w:tab w:val="left" w:pos="-36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s>
        <w:rPr/>
      </w:pPr>
      <w:r>
        <w:rPr>
          <w:sz w:val="20"/>
          <w:szCs w:val="20"/>
        </w:rPr>
        <w:t>(c)</w:t>
        <w:tab/>
      </w:r>
      <w:r>
        <w:rPr>
          <w:b/>
          <w:bCs/>
          <w:i/>
          <w:iCs/>
          <w:sz w:val="20"/>
          <w:szCs w:val="20"/>
        </w:rPr>
        <w:t>Valuation and Timing</w:t>
      </w:r>
      <w:r>
        <w:rPr>
          <w:sz w:val="20"/>
          <w:szCs w:val="20"/>
        </w:rPr>
        <w:t>.</w:t>
      </w:r>
    </w:p>
    <w:p>
      <w:pPr>
        <w:pStyle w:val="Normal"/>
        <w:tabs>
          <w:tab w:val="clear" w:pos="720"/>
          <w:tab w:val="left" w:pos="-1800" w:leader="none"/>
          <w:tab w:val="left" w:pos="-1080" w:leader="none"/>
          <w:tab w:val="left" w:pos="-36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s>
        <w:rPr>
          <w:sz w:val="20"/>
          <w:szCs w:val="20"/>
        </w:rPr>
      </w:pPr>
      <w:r>
        <w:rPr>
          <w:sz w:val="20"/>
          <w:szCs w:val="20"/>
        </w:rPr>
      </w:r>
    </w:p>
    <w:p>
      <w:pPr>
        <w:pStyle w:val="Normal"/>
        <w:tabs>
          <w:tab w:val="clear" w:pos="720"/>
          <w:tab w:val="left" w:pos="-1800" w:leader="none"/>
          <w:tab w:val="left" w:pos="-1080" w:leader="none"/>
          <w:tab w:val="left" w:pos="-36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s>
        <w:ind w:start="360" w:end="0"/>
        <w:rPr/>
      </w:pPr>
      <w:r>
        <w:rPr>
          <w:sz w:val="20"/>
          <w:szCs w:val="20"/>
        </w:rPr>
        <w:t>(i) “</w:t>
      </w:r>
      <w:r>
        <w:rPr>
          <w:b/>
          <w:bCs/>
          <w:i/>
          <w:iCs/>
          <w:sz w:val="20"/>
          <w:szCs w:val="20"/>
        </w:rPr>
        <w:t>Valuation Agent</w:t>
      </w:r>
      <w:r>
        <w:rPr>
          <w:sz w:val="20"/>
          <w:szCs w:val="20"/>
        </w:rPr>
        <w:t>” means, for purposes of Paragraphs 3 and 5, the party making the demand under Paragraph 3, and, for purposes of Paragraph 6(d), the Secured Party receiving or deemed to receive the Distributions or the Interest Amount, as applicable</w:t>
      </w:r>
    </w:p>
    <w:p>
      <w:pPr>
        <w:pStyle w:val="Normal"/>
        <w:tabs>
          <w:tab w:val="clear" w:pos="720"/>
          <w:tab w:val="left" w:pos="-1800" w:leader="none"/>
          <w:tab w:val="left" w:pos="-1080" w:leader="none"/>
          <w:tab w:val="left" w:pos="-36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s>
        <w:rPr>
          <w:sz w:val="20"/>
          <w:szCs w:val="20"/>
        </w:rPr>
      </w:pPr>
      <w:r>
        <w:rPr>
          <w:sz w:val="20"/>
          <w:szCs w:val="20"/>
        </w:rPr>
      </w:r>
    </w:p>
    <w:p>
      <w:pPr>
        <w:pStyle w:val="Normal"/>
        <w:tabs>
          <w:tab w:val="clear" w:pos="720"/>
          <w:tab w:val="left" w:pos="-1800" w:leader="none"/>
          <w:tab w:val="left" w:pos="-1080" w:leader="none"/>
          <w:tab w:val="left" w:pos="-36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s>
        <w:ind w:start="360" w:end="0"/>
        <w:rPr/>
      </w:pPr>
      <w:r>
        <w:rPr>
          <w:sz w:val="20"/>
          <w:szCs w:val="20"/>
        </w:rPr>
        <w:t>(ii) “</w:t>
      </w:r>
      <w:r>
        <w:rPr>
          <w:b/>
          <w:bCs/>
          <w:i/>
          <w:iCs/>
          <w:sz w:val="20"/>
          <w:szCs w:val="20"/>
        </w:rPr>
        <w:t>Valuation Date</w:t>
      </w:r>
      <w:r>
        <w:rPr>
          <w:sz w:val="20"/>
          <w:szCs w:val="20"/>
        </w:rPr>
        <w:t>” means each day that is a Local Business Day for both Party A and Party B and that is designated as a Valuation Date in a notice given by one party to the other pursuant to Paragraph 4(c).</w:t>
      </w:r>
    </w:p>
    <w:p>
      <w:pPr>
        <w:pStyle w:val="Normal"/>
        <w:tabs>
          <w:tab w:val="clear" w:pos="720"/>
          <w:tab w:val="left" w:pos="-1800" w:leader="none"/>
          <w:tab w:val="left" w:pos="-1080" w:leader="none"/>
          <w:tab w:val="left" w:pos="-36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s>
        <w:rPr>
          <w:sz w:val="20"/>
          <w:szCs w:val="20"/>
        </w:rPr>
      </w:pPr>
      <w:r>
        <w:rPr>
          <w:sz w:val="20"/>
          <w:szCs w:val="20"/>
        </w:rPr>
      </w:r>
    </w:p>
    <w:p>
      <w:pPr>
        <w:pStyle w:val="Normal"/>
        <w:tabs>
          <w:tab w:val="clear" w:pos="720"/>
          <w:tab w:val="left" w:pos="-1800" w:leader="none"/>
          <w:tab w:val="left" w:pos="-1080" w:leader="none"/>
          <w:tab w:val="left" w:pos="-36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s>
        <w:ind w:start="360" w:end="0"/>
        <w:rPr/>
      </w:pPr>
      <w:r>
        <w:rPr>
          <w:sz w:val="20"/>
          <w:szCs w:val="20"/>
        </w:rPr>
        <w:t>(iii) “</w:t>
      </w:r>
      <w:r>
        <w:rPr>
          <w:b/>
          <w:bCs/>
          <w:i/>
          <w:iCs/>
          <w:sz w:val="20"/>
          <w:szCs w:val="20"/>
        </w:rPr>
        <w:t>Valuation Time</w:t>
      </w:r>
      <w:r>
        <w:rPr>
          <w:sz w:val="20"/>
          <w:szCs w:val="20"/>
        </w:rPr>
        <w:t>” means:</w:t>
      </w:r>
    </w:p>
    <w:p>
      <w:pPr>
        <w:pStyle w:val="Normal"/>
        <w:tabs>
          <w:tab w:val="clear" w:pos="720"/>
          <w:tab w:val="left" w:pos="-1800" w:leader="none"/>
          <w:tab w:val="left" w:pos="-1080" w:leader="none"/>
          <w:tab w:val="left" w:pos="-36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s>
        <w:rPr>
          <w:sz w:val="20"/>
          <w:szCs w:val="20"/>
        </w:rPr>
      </w:pPr>
      <w:r>
        <w:rPr>
          <w:sz w:val="20"/>
          <w:szCs w:val="20"/>
        </w:rPr>
      </w:r>
    </w:p>
    <w:p>
      <w:pPr>
        <w:pStyle w:val="Normal"/>
        <w:tabs>
          <w:tab w:val="clear" w:pos="720"/>
          <w:tab w:val="left" w:pos="-1800" w:leader="none"/>
          <w:tab w:val="left" w:pos="-1080" w:leader="none"/>
          <w:tab w:val="left" w:pos="-36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s>
        <w:ind w:hanging="720" w:start="1800" w:end="0"/>
        <w:rPr>
          <w:sz w:val="20"/>
          <w:szCs w:val="20"/>
        </w:rPr>
      </w:pPr>
      <w:r>
        <w:rPr>
          <w:sz w:val="20"/>
          <w:szCs w:val="20"/>
        </w:rPr>
        <w:t>[   ]</w:t>
        <w:tab/>
        <w:t>the close of business in the city of the Valuation Agent on the Valuation Date or date of calculation, as applicable;</w:t>
      </w:r>
    </w:p>
    <w:p>
      <w:pPr>
        <w:pStyle w:val="Normal"/>
        <w:tabs>
          <w:tab w:val="clear" w:pos="720"/>
          <w:tab w:val="left" w:pos="-1800" w:leader="none"/>
          <w:tab w:val="left" w:pos="-1080" w:leader="none"/>
          <w:tab w:val="left" w:pos="-36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s>
        <w:rPr>
          <w:sz w:val="20"/>
          <w:szCs w:val="20"/>
        </w:rPr>
      </w:pPr>
      <w:r>
        <w:rPr>
          <w:sz w:val="20"/>
          <w:szCs w:val="20"/>
        </w:rPr>
      </w:r>
    </w:p>
    <w:p>
      <w:pPr>
        <w:pStyle w:val="Normal"/>
        <w:tabs>
          <w:tab w:val="clear" w:pos="720"/>
          <w:tab w:val="left" w:pos="-1800" w:leader="none"/>
          <w:tab w:val="left" w:pos="-1080" w:leader="none"/>
          <w:tab w:val="left" w:pos="-36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s>
        <w:ind w:hanging="720" w:start="1800" w:end="0"/>
        <w:rPr>
          <w:sz w:val="20"/>
          <w:szCs w:val="20"/>
        </w:rPr>
      </w:pPr>
      <w:r>
        <w:rPr>
          <w:sz w:val="20"/>
          <w:szCs w:val="20"/>
        </w:rPr>
        <w:t>[ x ]</w:t>
        <w:tab/>
        <w:t>the close of business on the Local Business Day before the Valuation Date or date of calculation, as applicable;</w:t>
      </w:r>
    </w:p>
    <w:p>
      <w:pPr>
        <w:pStyle w:val="Normal"/>
        <w:tabs>
          <w:tab w:val="clear" w:pos="720"/>
          <w:tab w:val="left" w:pos="-1800" w:leader="none"/>
          <w:tab w:val="left" w:pos="-1080" w:leader="none"/>
          <w:tab w:val="left" w:pos="-36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s>
        <w:rPr>
          <w:sz w:val="20"/>
          <w:szCs w:val="20"/>
        </w:rPr>
      </w:pPr>
      <w:r>
        <w:rPr>
          <w:sz w:val="20"/>
          <w:szCs w:val="20"/>
        </w:rPr>
      </w:r>
    </w:p>
    <w:p>
      <w:pPr>
        <w:pStyle w:val="Normal"/>
        <w:tabs>
          <w:tab w:val="clear" w:pos="720"/>
          <w:tab w:val="left" w:pos="-1800" w:leader="none"/>
          <w:tab w:val="left" w:pos="-1080" w:leader="none"/>
          <w:tab w:val="left" w:pos="-36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s>
        <w:ind w:start="360" w:end="0"/>
        <w:rPr/>
      </w:pPr>
      <w:r>
        <w:rPr>
          <w:i/>
          <w:iCs/>
          <w:sz w:val="20"/>
          <w:szCs w:val="20"/>
        </w:rPr>
        <w:t>provided</w:t>
      </w:r>
      <w:r>
        <w:rPr>
          <w:sz w:val="20"/>
          <w:szCs w:val="20"/>
        </w:rPr>
        <w:t xml:space="preserve"> that the calculations of Value and Exposure will be made as of approximately the same time on the same date.</w:t>
      </w:r>
    </w:p>
    <w:p>
      <w:pPr>
        <w:pStyle w:val="Normal"/>
        <w:tabs>
          <w:tab w:val="clear" w:pos="720"/>
          <w:tab w:val="left" w:pos="-1800" w:leader="none"/>
          <w:tab w:val="left" w:pos="-1080" w:leader="none"/>
          <w:tab w:val="left" w:pos="-36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s>
        <w:rPr>
          <w:sz w:val="20"/>
          <w:szCs w:val="20"/>
        </w:rPr>
      </w:pPr>
      <w:r>
        <w:rPr>
          <w:sz w:val="20"/>
          <w:szCs w:val="20"/>
        </w:rPr>
      </w:r>
    </w:p>
    <w:p>
      <w:pPr>
        <w:pStyle w:val="Normal"/>
        <w:tabs>
          <w:tab w:val="clear" w:pos="720"/>
          <w:tab w:val="left" w:pos="-1800" w:leader="none"/>
          <w:tab w:val="left" w:pos="-1080" w:leader="none"/>
          <w:tab w:val="left" w:pos="-36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s>
        <w:ind w:start="360" w:end="0"/>
        <w:rPr/>
      </w:pPr>
      <w:r>
        <w:rPr>
          <w:sz w:val="20"/>
          <w:szCs w:val="20"/>
        </w:rPr>
        <w:t>(iv) “</w:t>
      </w:r>
      <w:r>
        <w:rPr>
          <w:b/>
          <w:bCs/>
          <w:i/>
          <w:iCs/>
          <w:sz w:val="20"/>
          <w:szCs w:val="20"/>
        </w:rPr>
        <w:t>Notification Time</w:t>
      </w:r>
      <w:r>
        <w:rPr>
          <w:sz w:val="20"/>
          <w:szCs w:val="20"/>
        </w:rPr>
        <w:t>” means [1:00] p.m., New York time, on a Local Business Day</w:t>
      </w:r>
    </w:p>
    <w:p>
      <w:pPr>
        <w:pStyle w:val="Normal"/>
        <w:tabs>
          <w:tab w:val="clear" w:pos="720"/>
          <w:tab w:val="left" w:pos="-1800" w:leader="none"/>
          <w:tab w:val="left" w:pos="-1080" w:leader="none"/>
          <w:tab w:val="left" w:pos="-36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s>
        <w:rPr>
          <w:sz w:val="20"/>
          <w:szCs w:val="20"/>
        </w:rPr>
      </w:pPr>
      <w:r>
        <w:rPr>
          <w:sz w:val="20"/>
          <w:szCs w:val="20"/>
        </w:rPr>
      </w:r>
    </w:p>
    <w:p>
      <w:pPr>
        <w:pStyle w:val="Normal"/>
        <w:tabs>
          <w:tab w:val="clear" w:pos="720"/>
          <w:tab w:val="left" w:pos="-1800" w:leader="none"/>
          <w:tab w:val="left" w:pos="-1080" w:leader="none"/>
          <w:tab w:val="left" w:pos="-36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s>
        <w:rPr/>
      </w:pPr>
      <w:r>
        <w:rPr>
          <w:sz w:val="20"/>
          <w:szCs w:val="20"/>
        </w:rPr>
        <w:t>(d)</w:t>
        <w:tab/>
      </w:r>
      <w:r>
        <w:rPr>
          <w:b/>
          <w:bCs/>
          <w:i/>
          <w:iCs/>
          <w:sz w:val="20"/>
          <w:szCs w:val="20"/>
        </w:rPr>
        <w:t>Conditions Precedent and Secured Party's Rights and Remedies</w:t>
      </w:r>
      <w:r>
        <w:rPr>
          <w:sz w:val="20"/>
          <w:szCs w:val="20"/>
        </w:rPr>
        <w:t>. There shall be no “</w:t>
      </w:r>
      <w:r>
        <w:rPr>
          <w:b/>
          <w:bCs/>
          <w:i/>
          <w:iCs/>
          <w:sz w:val="20"/>
          <w:szCs w:val="20"/>
        </w:rPr>
        <w:t>Specified Condition</w:t>
      </w:r>
      <w:r>
        <w:rPr>
          <w:sz w:val="20"/>
          <w:szCs w:val="20"/>
        </w:rPr>
        <w:t>” for either party.</w:t>
      </w:r>
    </w:p>
    <w:p>
      <w:pPr>
        <w:pStyle w:val="Normal"/>
        <w:tabs>
          <w:tab w:val="clear" w:pos="720"/>
          <w:tab w:val="left" w:pos="-1800" w:leader="none"/>
          <w:tab w:val="left" w:pos="-1080" w:leader="none"/>
          <w:tab w:val="left" w:pos="-36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s>
        <w:rPr>
          <w:sz w:val="20"/>
          <w:szCs w:val="20"/>
        </w:rPr>
      </w:pPr>
      <w:r>
        <w:rPr>
          <w:sz w:val="20"/>
          <w:szCs w:val="20"/>
        </w:rPr>
      </w:r>
    </w:p>
    <w:p>
      <w:pPr>
        <w:pStyle w:val="Normal"/>
        <w:tabs>
          <w:tab w:val="clear" w:pos="720"/>
          <w:tab w:val="left" w:pos="-1800" w:leader="none"/>
          <w:tab w:val="left" w:pos="-1080" w:leader="none"/>
          <w:tab w:val="left" w:pos="-36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s>
        <w:rPr/>
      </w:pPr>
      <w:r>
        <w:rPr>
          <w:sz w:val="20"/>
          <w:szCs w:val="20"/>
        </w:rPr>
        <w:t>(e)</w:t>
        <w:tab/>
      </w:r>
      <w:r>
        <w:rPr>
          <w:b/>
          <w:bCs/>
          <w:i/>
          <w:iCs/>
          <w:sz w:val="20"/>
          <w:szCs w:val="20"/>
        </w:rPr>
        <w:t>Substitution</w:t>
      </w:r>
      <w:r>
        <w:rPr>
          <w:sz w:val="20"/>
          <w:szCs w:val="20"/>
        </w:rPr>
        <w:t>.</w:t>
      </w:r>
    </w:p>
    <w:p>
      <w:pPr>
        <w:pStyle w:val="Normal"/>
        <w:tabs>
          <w:tab w:val="clear" w:pos="720"/>
          <w:tab w:val="left" w:pos="-1800" w:leader="none"/>
          <w:tab w:val="left" w:pos="-1080" w:leader="none"/>
          <w:tab w:val="left" w:pos="-36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s>
        <w:rPr>
          <w:sz w:val="20"/>
          <w:szCs w:val="20"/>
        </w:rPr>
      </w:pPr>
      <w:r>
        <w:rPr>
          <w:sz w:val="20"/>
          <w:szCs w:val="20"/>
        </w:rPr>
      </w:r>
    </w:p>
    <w:p>
      <w:pPr>
        <w:pStyle w:val="Normal"/>
        <w:tabs>
          <w:tab w:val="clear" w:pos="720"/>
          <w:tab w:val="left" w:pos="-1800" w:leader="none"/>
          <w:tab w:val="left" w:pos="-1080" w:leader="none"/>
          <w:tab w:val="left" w:pos="-36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s>
        <w:ind w:start="360" w:end="0"/>
        <w:rPr/>
      </w:pPr>
      <w:r>
        <w:rPr>
          <w:sz w:val="20"/>
          <w:szCs w:val="20"/>
        </w:rPr>
        <w:t>(i) “</w:t>
      </w:r>
      <w:r>
        <w:rPr>
          <w:b/>
          <w:bCs/>
          <w:i/>
          <w:iCs/>
          <w:sz w:val="20"/>
          <w:szCs w:val="20"/>
        </w:rPr>
        <w:t>Substitution Date</w:t>
      </w:r>
      <w:r>
        <w:rPr>
          <w:sz w:val="20"/>
          <w:szCs w:val="20"/>
        </w:rPr>
        <w:t>” has the meaning specified in Paragraph 4(d)(ii)</w:t>
      </w:r>
    </w:p>
    <w:p>
      <w:pPr>
        <w:pStyle w:val="Normal"/>
        <w:tabs>
          <w:tab w:val="clear" w:pos="720"/>
          <w:tab w:val="left" w:pos="-1800" w:leader="none"/>
          <w:tab w:val="left" w:pos="-1080" w:leader="none"/>
          <w:tab w:val="left" w:pos="-36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s>
        <w:rPr>
          <w:sz w:val="20"/>
          <w:szCs w:val="20"/>
        </w:rPr>
      </w:pPr>
      <w:r>
        <w:rPr>
          <w:sz w:val="20"/>
          <w:szCs w:val="20"/>
        </w:rPr>
      </w:r>
    </w:p>
    <w:p>
      <w:pPr>
        <w:pStyle w:val="Normal"/>
        <w:tabs>
          <w:tab w:val="clear" w:pos="720"/>
          <w:tab w:val="left" w:pos="-1800" w:leader="none"/>
          <w:tab w:val="left" w:pos="-1080" w:leader="none"/>
          <w:tab w:val="left" w:pos="-36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s>
        <w:ind w:start="360" w:end="0"/>
        <w:rPr/>
      </w:pPr>
      <w:r>
        <w:rPr>
          <w:sz w:val="20"/>
          <w:szCs w:val="20"/>
        </w:rPr>
        <w:t xml:space="preserve">(ii) </w:t>
      </w:r>
      <w:r>
        <w:rPr>
          <w:b/>
          <w:bCs/>
          <w:i/>
          <w:iCs/>
          <w:sz w:val="20"/>
          <w:szCs w:val="20"/>
        </w:rPr>
        <w:t>Consent</w:t>
      </w:r>
      <w:r>
        <w:rPr>
          <w:sz w:val="20"/>
          <w:szCs w:val="20"/>
        </w:rPr>
        <w:t>.  If specified here as applicable, then the Pledgor must obtain the Secured Party's consent for any substitution pursuant to Paragraph 4(d):  [applicable/inapplicable]</w:t>
      </w:r>
    </w:p>
    <w:p>
      <w:pPr>
        <w:pStyle w:val="Normal"/>
        <w:tabs>
          <w:tab w:val="clear" w:pos="720"/>
          <w:tab w:val="left" w:pos="-1800" w:leader="none"/>
          <w:tab w:val="left" w:pos="-1080" w:leader="none"/>
          <w:tab w:val="left" w:pos="-36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s>
        <w:rPr>
          <w:sz w:val="20"/>
          <w:szCs w:val="20"/>
        </w:rPr>
      </w:pPr>
      <w:r>
        <w:rPr>
          <w:sz w:val="20"/>
          <w:szCs w:val="20"/>
        </w:rPr>
      </w:r>
    </w:p>
    <w:p>
      <w:pPr>
        <w:pStyle w:val="Normal"/>
        <w:tabs>
          <w:tab w:val="clear" w:pos="720"/>
          <w:tab w:val="left" w:pos="-1800" w:leader="none"/>
          <w:tab w:val="left" w:pos="-1080" w:leader="none"/>
          <w:tab w:val="left" w:pos="-36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s>
        <w:rPr/>
      </w:pPr>
      <w:r>
        <w:rPr>
          <w:sz w:val="20"/>
          <w:szCs w:val="20"/>
        </w:rPr>
        <w:t>(f)</w:t>
        <w:tab/>
      </w:r>
      <w:r>
        <w:rPr>
          <w:b/>
          <w:bCs/>
          <w:i/>
          <w:iCs/>
          <w:sz w:val="20"/>
          <w:szCs w:val="20"/>
        </w:rPr>
        <w:t>Dispute Resolution</w:t>
      </w:r>
      <w:r>
        <w:rPr>
          <w:sz w:val="20"/>
          <w:szCs w:val="20"/>
        </w:rPr>
        <w:t>.</w:t>
      </w:r>
    </w:p>
    <w:p>
      <w:pPr>
        <w:pStyle w:val="Normal"/>
        <w:tabs>
          <w:tab w:val="clear" w:pos="720"/>
          <w:tab w:val="left" w:pos="-1800" w:leader="none"/>
          <w:tab w:val="left" w:pos="-1080" w:leader="none"/>
          <w:tab w:val="left" w:pos="-36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s>
        <w:rPr>
          <w:sz w:val="20"/>
          <w:szCs w:val="20"/>
        </w:rPr>
      </w:pPr>
      <w:r>
        <w:rPr>
          <w:sz w:val="20"/>
          <w:szCs w:val="20"/>
        </w:rPr>
      </w:r>
    </w:p>
    <w:p>
      <w:pPr>
        <w:pStyle w:val="Normal"/>
        <w:tabs>
          <w:tab w:val="clear" w:pos="720"/>
          <w:tab w:val="left" w:pos="-1800" w:leader="none"/>
          <w:tab w:val="left" w:pos="-1080" w:leader="none"/>
          <w:tab w:val="left" w:pos="-36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s>
        <w:ind w:start="360" w:end="0"/>
        <w:rPr/>
      </w:pPr>
      <w:r>
        <w:rPr>
          <w:sz w:val="20"/>
          <w:szCs w:val="20"/>
        </w:rPr>
        <w:t>(i) “</w:t>
      </w:r>
      <w:r>
        <w:rPr>
          <w:b/>
          <w:bCs/>
          <w:i/>
          <w:iCs/>
          <w:sz w:val="20"/>
          <w:szCs w:val="20"/>
        </w:rPr>
        <w:t>Resolution Time</w:t>
      </w:r>
      <w:r>
        <w:rPr>
          <w:sz w:val="20"/>
          <w:szCs w:val="20"/>
        </w:rPr>
        <w:t>” means 1:00 p.m., New York time, on the Local Business Day following the date on which the notice is given that gives rise to a dispute under Paragraph 5</w:t>
      </w:r>
    </w:p>
    <w:p>
      <w:pPr>
        <w:pStyle w:val="Normal"/>
        <w:tabs>
          <w:tab w:val="clear" w:pos="720"/>
          <w:tab w:val="left" w:pos="-1800" w:leader="none"/>
          <w:tab w:val="left" w:pos="-1080" w:leader="none"/>
          <w:tab w:val="left" w:pos="-36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s>
        <w:rPr>
          <w:sz w:val="20"/>
          <w:szCs w:val="20"/>
        </w:rPr>
      </w:pPr>
      <w:r>
        <w:rPr>
          <w:sz w:val="20"/>
          <w:szCs w:val="20"/>
        </w:rPr>
      </w:r>
    </w:p>
    <w:p>
      <w:pPr>
        <w:pStyle w:val="Normal"/>
        <w:tabs>
          <w:tab w:val="clear" w:pos="720"/>
          <w:tab w:val="left" w:pos="-1800" w:leader="none"/>
          <w:tab w:val="left" w:pos="-1080" w:leader="none"/>
          <w:tab w:val="left" w:pos="-36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s>
        <w:ind w:start="360" w:end="0"/>
        <w:rPr/>
      </w:pPr>
      <w:r>
        <w:rPr>
          <w:sz w:val="20"/>
          <w:szCs w:val="20"/>
        </w:rPr>
        <w:t xml:space="preserve">(ii) </w:t>
      </w:r>
      <w:r>
        <w:rPr>
          <w:b/>
          <w:bCs/>
          <w:i/>
          <w:iCs/>
          <w:sz w:val="20"/>
          <w:szCs w:val="20"/>
        </w:rPr>
        <w:t>Value</w:t>
      </w:r>
      <w:r>
        <w:rPr>
          <w:sz w:val="20"/>
          <w:szCs w:val="20"/>
        </w:rPr>
        <w:t>.  For the purpose of Paragraphs 5(i)(C) and 5(ii), the Value of Posted Credit Support will be calculated as follows: If the dispute relates to the value of a security, the Valuation Agent will use the arithmetic mean of the mid-market prices for the security obtained by it from Reference Dealers selected by it as provided in the penultimate sentence of Section 4.14 of the 2000 Definitions.  For these purposes, “Reference Dealers” means three leading dealers in the principal market for the relevant security, unaffiliated with either party and agreed upon by the parties.</w:t>
      </w:r>
    </w:p>
    <w:p>
      <w:pPr>
        <w:pStyle w:val="Normal"/>
        <w:tabs>
          <w:tab w:val="clear" w:pos="720"/>
          <w:tab w:val="left" w:pos="-1800" w:leader="none"/>
          <w:tab w:val="left" w:pos="-1080" w:leader="none"/>
          <w:tab w:val="left" w:pos="-36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s>
        <w:rPr>
          <w:sz w:val="20"/>
          <w:szCs w:val="20"/>
        </w:rPr>
      </w:pPr>
      <w:r>
        <w:rPr>
          <w:sz w:val="20"/>
          <w:szCs w:val="20"/>
        </w:rPr>
      </w:r>
    </w:p>
    <w:p>
      <w:pPr>
        <w:pStyle w:val="Normal"/>
        <w:tabs>
          <w:tab w:val="clear" w:pos="720"/>
          <w:tab w:val="left" w:pos="-1800" w:leader="none"/>
          <w:tab w:val="left" w:pos="-1080" w:leader="none"/>
          <w:tab w:val="left" w:pos="-36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s>
        <w:ind w:start="360" w:end="0"/>
        <w:rPr/>
      </w:pPr>
      <w:r>
        <w:rPr>
          <w:sz w:val="20"/>
          <w:szCs w:val="20"/>
        </w:rPr>
        <w:t xml:space="preserve">(iii) </w:t>
      </w:r>
      <w:r>
        <w:rPr>
          <w:b/>
          <w:bCs/>
          <w:i/>
          <w:iCs/>
          <w:sz w:val="20"/>
          <w:szCs w:val="20"/>
        </w:rPr>
        <w:t>Alternative</w:t>
      </w:r>
      <w:r>
        <w:rPr>
          <w:sz w:val="20"/>
          <w:szCs w:val="20"/>
        </w:rPr>
        <w:t>.  The provisions of Paragraph 5 will apply except that if the relevant demand is made after the Notification Time, Transfer of the undisputed amount will be due on the second Local Business Day after the date of demand.</w:t>
      </w:r>
    </w:p>
    <w:p>
      <w:pPr>
        <w:pStyle w:val="Normal"/>
        <w:tabs>
          <w:tab w:val="clear" w:pos="720"/>
          <w:tab w:val="left" w:pos="-1800" w:leader="none"/>
          <w:tab w:val="left" w:pos="-1080" w:leader="none"/>
          <w:tab w:val="left" w:pos="-36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s>
        <w:rPr>
          <w:sz w:val="20"/>
          <w:szCs w:val="20"/>
        </w:rPr>
      </w:pPr>
      <w:r>
        <w:rPr>
          <w:sz w:val="20"/>
          <w:szCs w:val="20"/>
        </w:rPr>
      </w:r>
    </w:p>
    <w:p>
      <w:pPr>
        <w:pStyle w:val="Normal"/>
        <w:tabs>
          <w:tab w:val="clear" w:pos="720"/>
          <w:tab w:val="left" w:pos="-1800" w:leader="none"/>
          <w:tab w:val="left" w:pos="-1080" w:leader="none"/>
          <w:tab w:val="left" w:pos="-36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s>
        <w:rPr/>
      </w:pPr>
      <w:r>
        <w:rPr>
          <w:sz w:val="20"/>
          <w:szCs w:val="20"/>
        </w:rPr>
        <w:t>(g)</w:t>
        <w:tab/>
      </w:r>
      <w:r>
        <w:rPr>
          <w:b/>
          <w:bCs/>
          <w:i/>
          <w:iCs/>
          <w:sz w:val="20"/>
          <w:szCs w:val="20"/>
        </w:rPr>
        <w:t>Holding and Using Posted Collateral</w:t>
      </w:r>
      <w:r>
        <w:rPr>
          <w:sz w:val="20"/>
          <w:szCs w:val="20"/>
        </w:rPr>
        <w:t>.</w:t>
      </w:r>
    </w:p>
    <w:p>
      <w:pPr>
        <w:pStyle w:val="Normal"/>
        <w:tabs>
          <w:tab w:val="clear" w:pos="720"/>
          <w:tab w:val="left" w:pos="-1800" w:leader="none"/>
          <w:tab w:val="left" w:pos="-1080" w:leader="none"/>
          <w:tab w:val="left" w:pos="-36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s>
        <w:rPr>
          <w:sz w:val="20"/>
          <w:szCs w:val="20"/>
        </w:rPr>
      </w:pPr>
      <w:r>
        <w:rPr>
          <w:sz w:val="20"/>
          <w:szCs w:val="20"/>
        </w:rPr>
      </w:r>
    </w:p>
    <w:p>
      <w:pPr>
        <w:pStyle w:val="Normal"/>
        <w:tabs>
          <w:tab w:val="clear" w:pos="720"/>
          <w:tab w:val="left" w:pos="-1800" w:leader="none"/>
          <w:tab w:val="left" w:pos="-1080" w:leader="none"/>
          <w:tab w:val="left" w:pos="-36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s>
        <w:ind w:start="360" w:end="0"/>
        <w:rPr/>
      </w:pPr>
      <w:r>
        <w:rPr>
          <w:sz w:val="20"/>
          <w:szCs w:val="20"/>
        </w:rPr>
        <w:t xml:space="preserve">(i) </w:t>
      </w:r>
      <w:r>
        <w:rPr>
          <w:b/>
          <w:bCs/>
          <w:i/>
          <w:iCs/>
          <w:sz w:val="20"/>
          <w:szCs w:val="20"/>
        </w:rPr>
        <w:t>Eligibility to Hold Posted Collateral; Custodians</w:t>
      </w:r>
      <w:r>
        <w:rPr>
          <w:sz w:val="20"/>
          <w:szCs w:val="20"/>
        </w:rPr>
        <w:t xml:space="preserve">.  Party A and its Custodian will be entitled to hold Posted Collateral pursuant to Paragraph 6(b); </w:t>
      </w:r>
      <w:r>
        <w:rPr>
          <w:i/>
          <w:iCs/>
          <w:sz w:val="20"/>
          <w:szCs w:val="20"/>
        </w:rPr>
        <w:t>provided</w:t>
      </w:r>
      <w:r>
        <w:rPr>
          <w:sz w:val="20"/>
          <w:szCs w:val="20"/>
        </w:rPr>
        <w:t xml:space="preserve"> that the following conditions applicable to it are satisfied:</w:t>
      </w:r>
    </w:p>
    <w:p>
      <w:pPr>
        <w:pStyle w:val="Normal"/>
        <w:tabs>
          <w:tab w:val="clear" w:pos="720"/>
          <w:tab w:val="left" w:pos="-1800" w:leader="none"/>
          <w:tab w:val="left" w:pos="-1080" w:leader="none"/>
          <w:tab w:val="left" w:pos="-36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s>
        <w:rPr>
          <w:sz w:val="20"/>
          <w:szCs w:val="20"/>
        </w:rPr>
      </w:pPr>
      <w:r>
        <w:rPr>
          <w:sz w:val="20"/>
          <w:szCs w:val="20"/>
        </w:rPr>
      </w:r>
    </w:p>
    <w:p>
      <w:pPr>
        <w:pStyle w:val="Normal"/>
        <w:tabs>
          <w:tab w:val="clear" w:pos="720"/>
          <w:tab w:val="left" w:pos="-1800" w:leader="none"/>
          <w:tab w:val="left" w:pos="-1080" w:leader="none"/>
          <w:tab w:val="left" w:pos="-36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s>
        <w:ind w:start="1080" w:end="0"/>
        <w:rPr>
          <w:sz w:val="20"/>
          <w:szCs w:val="20"/>
        </w:rPr>
      </w:pPr>
      <w:r>
        <w:rPr>
          <w:sz w:val="20"/>
          <w:szCs w:val="20"/>
        </w:rPr>
        <w:t>(1) Party A is not a Defaulting Party.</w:t>
      </w:r>
    </w:p>
    <w:p>
      <w:pPr>
        <w:pStyle w:val="Normal"/>
        <w:tabs>
          <w:tab w:val="clear" w:pos="720"/>
          <w:tab w:val="left" w:pos="-1800" w:leader="none"/>
          <w:tab w:val="left" w:pos="-1080" w:leader="none"/>
          <w:tab w:val="left" w:pos="-36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s>
        <w:rPr>
          <w:sz w:val="20"/>
          <w:szCs w:val="20"/>
        </w:rPr>
      </w:pPr>
      <w:r>
        <w:rPr>
          <w:sz w:val="20"/>
          <w:szCs w:val="20"/>
        </w:rPr>
      </w:r>
    </w:p>
    <w:p>
      <w:pPr>
        <w:pStyle w:val="Normal"/>
        <w:tabs>
          <w:tab w:val="clear" w:pos="720"/>
          <w:tab w:val="left" w:pos="-1800" w:leader="none"/>
          <w:tab w:val="left" w:pos="-1080" w:leader="none"/>
          <w:tab w:val="left" w:pos="-36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s>
        <w:ind w:start="1080" w:end="0"/>
        <w:rPr>
          <w:sz w:val="20"/>
          <w:szCs w:val="20"/>
        </w:rPr>
      </w:pPr>
      <w:r>
        <w:rPr>
          <w:sz w:val="20"/>
          <w:szCs w:val="20"/>
        </w:rPr>
        <w:t>(2) Posted Collateral may be held only in the following jurisdictions: New York</w:t>
      </w:r>
    </w:p>
    <w:p>
      <w:pPr>
        <w:pStyle w:val="Normal"/>
        <w:tabs>
          <w:tab w:val="clear" w:pos="720"/>
          <w:tab w:val="left" w:pos="-1800" w:leader="none"/>
          <w:tab w:val="left" w:pos="-1080" w:leader="none"/>
          <w:tab w:val="left" w:pos="-36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s>
        <w:ind w:start="1080" w:end="0"/>
        <w:rPr>
          <w:sz w:val="20"/>
          <w:szCs w:val="20"/>
        </w:rPr>
      </w:pPr>
      <w:r>
        <w:rPr>
          <w:sz w:val="20"/>
          <w:szCs w:val="20"/>
        </w:rPr>
      </w:r>
    </w:p>
    <w:p>
      <w:pPr>
        <w:pStyle w:val="Normal"/>
        <w:tabs>
          <w:tab w:val="clear" w:pos="720"/>
          <w:tab w:val="left" w:pos="-1800" w:leader="none"/>
          <w:tab w:val="left" w:pos="-1080" w:leader="none"/>
          <w:tab w:val="left" w:pos="-36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s>
        <w:ind w:start="1080" w:end="0"/>
        <w:rPr/>
      </w:pPr>
      <w:r>
        <w:rPr>
          <w:sz w:val="20"/>
          <w:szCs w:val="20"/>
        </w:rPr>
        <w:t xml:space="preserve">Initially, the </w:t>
      </w:r>
      <w:r>
        <w:rPr>
          <w:b/>
          <w:bCs/>
          <w:sz w:val="20"/>
          <w:szCs w:val="20"/>
        </w:rPr>
        <w:t>Custodian</w:t>
      </w:r>
      <w:r>
        <w:rPr>
          <w:sz w:val="20"/>
          <w:szCs w:val="20"/>
        </w:rPr>
        <w:t xml:space="preserve"> for Party A is  . . . . . . . . . . . . . . . . . . . . . . . . . . . .</w:t>
      </w:r>
    </w:p>
    <w:p>
      <w:pPr>
        <w:pStyle w:val="Normal"/>
        <w:tabs>
          <w:tab w:val="clear" w:pos="720"/>
          <w:tab w:val="left" w:pos="-1800" w:leader="none"/>
          <w:tab w:val="left" w:pos="-1080" w:leader="none"/>
          <w:tab w:val="left" w:pos="-36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s>
        <w:rPr>
          <w:sz w:val="20"/>
          <w:szCs w:val="20"/>
        </w:rPr>
      </w:pPr>
      <w:r>
        <w:rPr>
          <w:sz w:val="20"/>
          <w:szCs w:val="20"/>
        </w:rPr>
      </w:r>
    </w:p>
    <w:p>
      <w:pPr>
        <w:pStyle w:val="Normal"/>
        <w:tabs>
          <w:tab w:val="clear" w:pos="720"/>
          <w:tab w:val="left" w:pos="-1800" w:leader="none"/>
          <w:tab w:val="left" w:pos="-1080" w:leader="none"/>
          <w:tab w:val="left" w:pos="-36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s>
        <w:ind w:start="360" w:end="0"/>
        <w:rPr/>
      </w:pPr>
      <w:r>
        <w:rPr>
          <w:sz w:val="20"/>
          <w:szCs w:val="20"/>
        </w:rPr>
        <w:t xml:space="preserve">Party B and its Custodian will be entitled to hold Posted Collateral pursuant to Paragraph 6(b); </w:t>
      </w:r>
      <w:r>
        <w:rPr>
          <w:i/>
          <w:iCs/>
          <w:sz w:val="20"/>
          <w:szCs w:val="20"/>
        </w:rPr>
        <w:t>provided</w:t>
      </w:r>
      <w:r>
        <w:rPr>
          <w:sz w:val="20"/>
          <w:szCs w:val="20"/>
        </w:rPr>
        <w:t xml:space="preserve"> that the following conditions applicable to it are satisfied:</w:t>
      </w:r>
    </w:p>
    <w:p>
      <w:pPr>
        <w:pStyle w:val="Normal"/>
        <w:tabs>
          <w:tab w:val="clear" w:pos="720"/>
          <w:tab w:val="left" w:pos="-1800" w:leader="none"/>
          <w:tab w:val="left" w:pos="-1080" w:leader="none"/>
          <w:tab w:val="left" w:pos="-36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s>
        <w:rPr>
          <w:sz w:val="20"/>
          <w:szCs w:val="20"/>
        </w:rPr>
      </w:pPr>
      <w:r>
        <w:rPr>
          <w:sz w:val="20"/>
          <w:szCs w:val="20"/>
        </w:rPr>
      </w:r>
    </w:p>
    <w:p>
      <w:pPr>
        <w:pStyle w:val="Normal"/>
        <w:tabs>
          <w:tab w:val="clear" w:pos="720"/>
          <w:tab w:val="left" w:pos="-1800" w:leader="none"/>
          <w:tab w:val="left" w:pos="-1080" w:leader="none"/>
          <w:tab w:val="left" w:pos="-36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s>
        <w:ind w:start="1080" w:end="0"/>
        <w:rPr>
          <w:sz w:val="20"/>
          <w:szCs w:val="20"/>
        </w:rPr>
      </w:pPr>
      <w:r>
        <w:rPr>
          <w:sz w:val="20"/>
          <w:szCs w:val="20"/>
        </w:rPr>
        <w:t>(1) Party B is not a Defaulting Party.</w:t>
      </w:r>
    </w:p>
    <w:p>
      <w:pPr>
        <w:pStyle w:val="Normal"/>
        <w:tabs>
          <w:tab w:val="clear" w:pos="720"/>
          <w:tab w:val="left" w:pos="-1800" w:leader="none"/>
          <w:tab w:val="left" w:pos="-1080" w:leader="none"/>
          <w:tab w:val="left" w:pos="-36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s>
        <w:rPr>
          <w:sz w:val="20"/>
          <w:szCs w:val="20"/>
        </w:rPr>
      </w:pPr>
      <w:r>
        <w:rPr>
          <w:sz w:val="20"/>
          <w:szCs w:val="20"/>
        </w:rPr>
      </w:r>
    </w:p>
    <w:p>
      <w:pPr>
        <w:pStyle w:val="Normal"/>
        <w:tabs>
          <w:tab w:val="clear" w:pos="720"/>
          <w:tab w:val="left" w:pos="-1800" w:leader="none"/>
          <w:tab w:val="left" w:pos="-1080" w:leader="none"/>
          <w:tab w:val="left" w:pos="-36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s>
        <w:ind w:start="1080" w:end="0"/>
        <w:rPr>
          <w:sz w:val="20"/>
          <w:szCs w:val="20"/>
        </w:rPr>
      </w:pPr>
      <w:r>
        <w:rPr>
          <w:sz w:val="20"/>
          <w:szCs w:val="20"/>
        </w:rPr>
        <w:t>(2) Posted Collateral may be held only in the following jurisdictions: New York</w:t>
      </w:r>
    </w:p>
    <w:p>
      <w:pPr>
        <w:pStyle w:val="Normal"/>
        <w:tabs>
          <w:tab w:val="clear" w:pos="720"/>
          <w:tab w:val="left" w:pos="-1800" w:leader="none"/>
          <w:tab w:val="left" w:pos="-1080" w:leader="none"/>
          <w:tab w:val="left" w:pos="-36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s>
        <w:ind w:start="1080" w:end="0"/>
        <w:rPr>
          <w:sz w:val="20"/>
          <w:szCs w:val="20"/>
        </w:rPr>
      </w:pPr>
      <w:r>
        <w:rPr>
          <w:sz w:val="20"/>
          <w:szCs w:val="20"/>
        </w:rPr>
      </w:r>
    </w:p>
    <w:p>
      <w:pPr>
        <w:pStyle w:val="Normal"/>
        <w:tabs>
          <w:tab w:val="clear" w:pos="720"/>
          <w:tab w:val="left" w:pos="-1800" w:leader="none"/>
          <w:tab w:val="left" w:pos="-1080" w:leader="none"/>
          <w:tab w:val="left" w:pos="-36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s>
        <w:ind w:start="1080" w:end="0"/>
        <w:rPr/>
      </w:pPr>
      <w:r>
        <w:rPr>
          <w:sz w:val="20"/>
          <w:szCs w:val="20"/>
        </w:rPr>
        <w:t xml:space="preserve">Initially, the </w:t>
      </w:r>
      <w:r>
        <w:rPr>
          <w:b/>
          <w:bCs/>
          <w:sz w:val="20"/>
          <w:szCs w:val="20"/>
        </w:rPr>
        <w:t>Custodian</w:t>
      </w:r>
      <w:r>
        <w:rPr>
          <w:sz w:val="20"/>
          <w:szCs w:val="20"/>
        </w:rPr>
        <w:t xml:space="preserve"> for Party B is  . . . . . . . . . . . . . . . . . . . . . . . . . . . .</w:t>
      </w:r>
    </w:p>
    <w:p>
      <w:pPr>
        <w:pStyle w:val="Normal"/>
        <w:tabs>
          <w:tab w:val="clear" w:pos="720"/>
          <w:tab w:val="left" w:pos="-1800" w:leader="none"/>
          <w:tab w:val="left" w:pos="-1080" w:leader="none"/>
          <w:tab w:val="left" w:pos="-36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s>
        <w:rPr>
          <w:sz w:val="20"/>
          <w:szCs w:val="20"/>
        </w:rPr>
      </w:pPr>
      <w:r>
        <w:rPr>
          <w:sz w:val="20"/>
          <w:szCs w:val="20"/>
        </w:rPr>
      </w:r>
    </w:p>
    <w:p>
      <w:pPr>
        <w:pStyle w:val="Normal"/>
        <w:tabs>
          <w:tab w:val="clear" w:pos="720"/>
          <w:tab w:val="left" w:pos="-1800" w:leader="none"/>
          <w:tab w:val="left" w:pos="-1080" w:leader="none"/>
          <w:tab w:val="left" w:pos="-36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s>
        <w:ind w:start="360" w:end="0"/>
        <w:rPr/>
      </w:pPr>
      <w:r>
        <w:rPr>
          <w:sz w:val="20"/>
          <w:szCs w:val="20"/>
        </w:rPr>
        <w:t xml:space="preserve">(ii) </w:t>
      </w:r>
      <w:r>
        <w:rPr>
          <w:b/>
          <w:bCs/>
          <w:i/>
          <w:iCs/>
          <w:sz w:val="20"/>
          <w:szCs w:val="20"/>
        </w:rPr>
        <w:t>Use of Posted Collateral</w:t>
      </w:r>
      <w:r>
        <w:rPr>
          <w:sz w:val="20"/>
          <w:szCs w:val="20"/>
        </w:rPr>
        <w:t>.  The provisions of Paragraph 6(c) will apply</w:t>
      </w:r>
    </w:p>
    <w:p>
      <w:pPr>
        <w:pStyle w:val="Normal"/>
        <w:tabs>
          <w:tab w:val="clear" w:pos="720"/>
          <w:tab w:val="left" w:pos="-1800" w:leader="none"/>
          <w:tab w:val="left" w:pos="-1080" w:leader="none"/>
          <w:tab w:val="left" w:pos="-36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s>
        <w:rPr>
          <w:sz w:val="20"/>
          <w:szCs w:val="20"/>
        </w:rPr>
      </w:pPr>
      <w:r>
        <w:rPr>
          <w:sz w:val="20"/>
          <w:szCs w:val="20"/>
        </w:rPr>
      </w:r>
    </w:p>
    <w:p>
      <w:pPr>
        <w:pStyle w:val="Normal"/>
        <w:tabs>
          <w:tab w:val="clear" w:pos="720"/>
          <w:tab w:val="left" w:pos="-1800" w:leader="none"/>
          <w:tab w:val="left" w:pos="-1080" w:leader="none"/>
          <w:tab w:val="left" w:pos="-36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s>
        <w:rPr/>
      </w:pPr>
      <w:r>
        <w:rPr>
          <w:sz w:val="20"/>
          <w:szCs w:val="20"/>
        </w:rPr>
        <w:t>(h)</w:t>
        <w:tab/>
      </w:r>
      <w:r>
        <w:rPr>
          <w:b/>
          <w:bCs/>
          <w:i/>
          <w:iCs/>
          <w:sz w:val="20"/>
          <w:szCs w:val="20"/>
        </w:rPr>
        <w:t>Distributions and Interest Amount</w:t>
      </w:r>
      <w:r>
        <w:rPr>
          <w:sz w:val="20"/>
          <w:szCs w:val="20"/>
        </w:rPr>
        <w:t>.</w:t>
      </w:r>
    </w:p>
    <w:p>
      <w:pPr>
        <w:pStyle w:val="Normal"/>
        <w:tabs>
          <w:tab w:val="clear" w:pos="720"/>
          <w:tab w:val="left" w:pos="-1800" w:leader="none"/>
          <w:tab w:val="left" w:pos="-1080" w:leader="none"/>
          <w:tab w:val="left" w:pos="-36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s>
        <w:rPr>
          <w:sz w:val="20"/>
          <w:szCs w:val="20"/>
        </w:rPr>
      </w:pPr>
      <w:r>
        <w:rPr>
          <w:sz w:val="20"/>
          <w:szCs w:val="20"/>
        </w:rPr>
      </w:r>
    </w:p>
    <w:p>
      <w:pPr>
        <w:pStyle w:val="Normal"/>
        <w:tabs>
          <w:tab w:val="clear" w:pos="720"/>
          <w:tab w:val="left" w:pos="-1800" w:leader="none"/>
          <w:tab w:val="left" w:pos="-1080" w:leader="none"/>
          <w:tab w:val="left" w:pos="-36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s>
        <w:ind w:firstLine="360" w:end="-90"/>
        <w:rPr/>
      </w:pPr>
      <w:r>
        <w:rPr>
          <w:sz w:val="20"/>
          <w:szCs w:val="20"/>
        </w:rPr>
        <w:t xml:space="preserve">(i) </w:t>
      </w:r>
      <w:r>
        <w:rPr>
          <w:b/>
          <w:bCs/>
          <w:i/>
          <w:iCs/>
          <w:sz w:val="20"/>
          <w:szCs w:val="20"/>
        </w:rPr>
        <w:t>Interest Rate</w:t>
      </w:r>
      <w:r>
        <w:rPr>
          <w:sz w:val="20"/>
          <w:szCs w:val="20"/>
        </w:rPr>
        <w:t>.  The “</w:t>
      </w:r>
      <w:r>
        <w:rPr>
          <w:b/>
          <w:bCs/>
          <w:i/>
          <w:iCs/>
          <w:sz w:val="20"/>
          <w:szCs w:val="20"/>
        </w:rPr>
        <w:t>Interest Rate</w:t>
      </w:r>
      <w:r>
        <w:rPr>
          <w:sz w:val="20"/>
          <w:szCs w:val="20"/>
        </w:rPr>
        <w:t xml:space="preserve">” for any day will be the rate for deposits in U.S. Dollars for the shortest period which appears on the Telerate Page 3750 as of 11:00 a.m., London time, on the day that is two London Banking Days preceding such day.  If such rate does not appear on the Telerate Page 3750, the rate for such day will be determined as if the parties had specified “USD-LIBOR-Reference Banks” as the applicable Interest Rate, with references to “Reset Date” replaced by references to such day, references to “Designated Maturity” replaced by references to the shortest available maturity and references to “Reference Banks” replaced by references to The Chase Manhattan Bank and its successors or any other bank acceptable to the parties.  For the avoidance of doubt, interest will be computed on a daily, compounded basis. </w:t>
      </w:r>
    </w:p>
    <w:p>
      <w:pPr>
        <w:pStyle w:val="Normal"/>
        <w:tabs>
          <w:tab w:val="clear" w:pos="720"/>
          <w:tab w:val="left" w:pos="-1800" w:leader="none"/>
          <w:tab w:val="left" w:pos="-1080" w:leader="none"/>
          <w:tab w:val="left" w:pos="-36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s>
        <w:ind w:end="-90"/>
        <w:rPr>
          <w:sz w:val="20"/>
          <w:szCs w:val="20"/>
        </w:rPr>
      </w:pPr>
      <w:r>
        <w:rPr>
          <w:sz w:val="20"/>
          <w:szCs w:val="20"/>
        </w:rPr>
      </w:r>
    </w:p>
    <w:p>
      <w:pPr>
        <w:pStyle w:val="Normal"/>
        <w:tabs>
          <w:tab w:val="clear" w:pos="720"/>
          <w:tab w:val="left" w:pos="-1800" w:leader="none"/>
          <w:tab w:val="left" w:pos="-1080" w:leader="none"/>
          <w:tab w:val="left" w:pos="-36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s>
        <w:ind w:start="360" w:end="-90"/>
        <w:rPr/>
      </w:pPr>
      <w:r>
        <w:rPr>
          <w:sz w:val="20"/>
          <w:szCs w:val="20"/>
        </w:rPr>
        <w:t xml:space="preserve">(ii) </w:t>
      </w:r>
      <w:r>
        <w:rPr>
          <w:b/>
          <w:bCs/>
          <w:i/>
          <w:iCs/>
          <w:sz w:val="20"/>
          <w:szCs w:val="20"/>
        </w:rPr>
        <w:t>Transfer of Interest Amount</w:t>
      </w:r>
      <w:r>
        <w:rPr>
          <w:sz w:val="20"/>
          <w:szCs w:val="20"/>
        </w:rPr>
        <w:t xml:space="preserve">.  The Transfer of the Interest Amount will be made on the last Local Business Day of each calendar month and on any Local Business Day that Posted Collateral in the form of Cash is Transferred to the Pledgor pursuant to Paragraph 3(b) </w:t>
      </w:r>
    </w:p>
    <w:p>
      <w:pPr>
        <w:pStyle w:val="Normal"/>
        <w:tabs>
          <w:tab w:val="clear" w:pos="720"/>
          <w:tab w:val="left" w:pos="-1800" w:leader="none"/>
          <w:tab w:val="left" w:pos="-1080" w:leader="none"/>
          <w:tab w:val="left" w:pos="-36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s>
        <w:ind w:end="-90"/>
        <w:rPr>
          <w:sz w:val="20"/>
          <w:szCs w:val="20"/>
        </w:rPr>
      </w:pPr>
      <w:r>
        <w:rPr>
          <w:sz w:val="20"/>
          <w:szCs w:val="20"/>
        </w:rPr>
      </w:r>
    </w:p>
    <w:p>
      <w:pPr>
        <w:pStyle w:val="Normal"/>
        <w:tabs>
          <w:tab w:val="clear" w:pos="720"/>
          <w:tab w:val="left" w:pos="-1800" w:leader="none"/>
          <w:tab w:val="left" w:pos="-1080" w:leader="none"/>
          <w:tab w:val="left" w:pos="-36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s>
        <w:ind w:start="360" w:end="-90"/>
        <w:rPr/>
      </w:pPr>
      <w:r>
        <w:rPr>
          <w:sz w:val="20"/>
          <w:szCs w:val="20"/>
        </w:rPr>
        <w:t xml:space="preserve">(iii) </w:t>
      </w:r>
      <w:r>
        <w:rPr>
          <w:b/>
          <w:bCs/>
          <w:i/>
          <w:iCs/>
          <w:sz w:val="20"/>
          <w:szCs w:val="20"/>
        </w:rPr>
        <w:t>Alternative to Interest Amount</w:t>
      </w:r>
      <w:r>
        <w:rPr>
          <w:sz w:val="20"/>
          <w:szCs w:val="20"/>
        </w:rPr>
        <w:t>.  The provisions of Paragraph 6(d)(ii) will apply</w:t>
      </w:r>
    </w:p>
    <w:p>
      <w:pPr>
        <w:pStyle w:val="Normal"/>
        <w:tabs>
          <w:tab w:val="clear" w:pos="720"/>
          <w:tab w:val="left" w:pos="-1800" w:leader="none"/>
          <w:tab w:val="left" w:pos="-1080" w:leader="none"/>
          <w:tab w:val="left" w:pos="-36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s>
        <w:ind w:end="-90"/>
        <w:rPr>
          <w:sz w:val="20"/>
          <w:szCs w:val="20"/>
        </w:rPr>
      </w:pPr>
      <w:r>
        <w:rPr>
          <w:sz w:val="20"/>
          <w:szCs w:val="20"/>
        </w:rPr>
      </w:r>
    </w:p>
    <w:p>
      <w:pPr>
        <w:pStyle w:val="Normal"/>
        <w:tabs>
          <w:tab w:val="clear" w:pos="720"/>
          <w:tab w:val="left" w:pos="-1800" w:leader="none"/>
          <w:tab w:val="left" w:pos="-1080" w:leader="none"/>
          <w:tab w:val="left" w:pos="-36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s>
        <w:ind w:end="-90"/>
        <w:rPr/>
      </w:pPr>
      <w:r>
        <w:rPr>
          <w:sz w:val="20"/>
          <w:szCs w:val="20"/>
        </w:rPr>
        <w:t>(i)</w:t>
        <w:tab/>
      </w:r>
      <w:r>
        <w:rPr>
          <w:b/>
          <w:bCs/>
          <w:i/>
          <w:iCs/>
          <w:sz w:val="20"/>
          <w:szCs w:val="20"/>
        </w:rPr>
        <w:t>Additional Representation(s)</w:t>
      </w:r>
      <w:r>
        <w:rPr>
          <w:sz w:val="20"/>
          <w:szCs w:val="20"/>
        </w:rPr>
        <w:t>.  None</w:t>
      </w:r>
    </w:p>
    <w:p>
      <w:pPr>
        <w:pStyle w:val="Normal"/>
        <w:tabs>
          <w:tab w:val="clear" w:pos="720"/>
          <w:tab w:val="left" w:pos="-1800" w:leader="none"/>
          <w:tab w:val="left" w:pos="-1080" w:leader="none"/>
          <w:tab w:val="left" w:pos="-36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s>
        <w:ind w:end="-90"/>
        <w:rPr>
          <w:sz w:val="20"/>
          <w:szCs w:val="20"/>
        </w:rPr>
      </w:pPr>
      <w:r>
        <w:rPr>
          <w:sz w:val="20"/>
          <w:szCs w:val="20"/>
        </w:rPr>
      </w:r>
    </w:p>
    <w:p>
      <w:pPr>
        <w:pStyle w:val="Normal"/>
        <w:tabs>
          <w:tab w:val="clear" w:pos="720"/>
          <w:tab w:val="left" w:pos="-1800" w:leader="none"/>
          <w:tab w:val="left" w:pos="-1080" w:leader="none"/>
          <w:tab w:val="left" w:pos="-36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s>
        <w:ind w:end="-90"/>
        <w:rPr/>
      </w:pPr>
      <w:r>
        <w:rPr>
          <w:sz w:val="20"/>
          <w:szCs w:val="20"/>
        </w:rPr>
        <w:t>(j)</w:t>
        <w:tab/>
      </w:r>
      <w:r>
        <w:rPr>
          <w:b/>
          <w:bCs/>
          <w:i/>
          <w:iCs/>
          <w:sz w:val="20"/>
          <w:szCs w:val="20"/>
        </w:rPr>
        <w:t>Other Eligible Support and Other Posted Support</w:t>
      </w:r>
      <w:r>
        <w:rPr>
          <w:sz w:val="20"/>
          <w:szCs w:val="20"/>
        </w:rPr>
        <w:t>.</w:t>
      </w:r>
    </w:p>
    <w:p>
      <w:pPr>
        <w:pStyle w:val="Normal"/>
        <w:tabs>
          <w:tab w:val="clear" w:pos="720"/>
          <w:tab w:val="left" w:pos="-1800" w:leader="none"/>
          <w:tab w:val="left" w:pos="-1080" w:leader="none"/>
          <w:tab w:val="left" w:pos="-36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s>
        <w:ind w:end="-90"/>
        <w:rPr>
          <w:sz w:val="20"/>
          <w:szCs w:val="20"/>
        </w:rPr>
      </w:pPr>
      <w:r>
        <w:rPr>
          <w:sz w:val="20"/>
          <w:szCs w:val="20"/>
        </w:rPr>
      </w:r>
    </w:p>
    <w:p>
      <w:pPr>
        <w:pStyle w:val="Normal"/>
        <w:tabs>
          <w:tab w:val="clear" w:pos="720"/>
          <w:tab w:val="left" w:pos="-1800" w:leader="none"/>
          <w:tab w:val="left" w:pos="-1080" w:leader="none"/>
          <w:tab w:val="left" w:pos="-36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s>
        <w:ind w:start="360" w:end="-90"/>
        <w:rPr/>
      </w:pPr>
      <w:r>
        <w:rPr>
          <w:sz w:val="20"/>
          <w:szCs w:val="20"/>
        </w:rPr>
        <w:t>(i) “</w:t>
      </w:r>
      <w:r>
        <w:rPr>
          <w:b/>
          <w:bCs/>
          <w:i/>
          <w:iCs/>
          <w:sz w:val="20"/>
          <w:szCs w:val="20"/>
        </w:rPr>
        <w:t>Value</w:t>
      </w:r>
      <w:r>
        <w:rPr>
          <w:sz w:val="20"/>
          <w:szCs w:val="20"/>
        </w:rPr>
        <w:t>” with respect to Other Eligible Support and Other Posted Support means: Not Applicable</w:t>
      </w:r>
    </w:p>
    <w:p>
      <w:pPr>
        <w:pStyle w:val="Normal"/>
        <w:tabs>
          <w:tab w:val="clear" w:pos="720"/>
          <w:tab w:val="left" w:pos="-1800" w:leader="none"/>
          <w:tab w:val="left" w:pos="-1080" w:leader="none"/>
          <w:tab w:val="left" w:pos="-36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s>
        <w:ind w:end="-90"/>
        <w:rPr>
          <w:sz w:val="20"/>
          <w:szCs w:val="20"/>
        </w:rPr>
      </w:pPr>
      <w:r>
        <w:rPr>
          <w:sz w:val="20"/>
          <w:szCs w:val="20"/>
        </w:rPr>
      </w:r>
    </w:p>
    <w:p>
      <w:pPr>
        <w:pStyle w:val="Normal"/>
        <w:tabs>
          <w:tab w:val="clear" w:pos="720"/>
          <w:tab w:val="left" w:pos="-1800" w:leader="none"/>
          <w:tab w:val="left" w:pos="-1080" w:leader="none"/>
          <w:tab w:val="left" w:pos="-36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s>
        <w:ind w:start="360" w:end="-90"/>
        <w:rPr/>
      </w:pPr>
      <w:r>
        <w:rPr>
          <w:sz w:val="20"/>
          <w:szCs w:val="20"/>
        </w:rPr>
        <w:t>(ii) “</w:t>
      </w:r>
      <w:r>
        <w:rPr>
          <w:b/>
          <w:bCs/>
          <w:i/>
          <w:iCs/>
          <w:sz w:val="20"/>
          <w:szCs w:val="20"/>
        </w:rPr>
        <w:t>Transfer</w:t>
      </w:r>
      <w:r>
        <w:rPr>
          <w:sz w:val="20"/>
          <w:szCs w:val="20"/>
        </w:rPr>
        <w:t>” with respect to Other Eligible Support and Other Posted Support means: Not Applicable</w:t>
      </w:r>
    </w:p>
    <w:p>
      <w:pPr>
        <w:pStyle w:val="Normal"/>
        <w:tabs>
          <w:tab w:val="clear" w:pos="720"/>
          <w:tab w:val="left" w:pos="-1800" w:leader="none"/>
          <w:tab w:val="left" w:pos="-1080" w:leader="none"/>
          <w:tab w:val="left" w:pos="-36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s>
        <w:ind w:end="-90"/>
        <w:rPr>
          <w:sz w:val="20"/>
          <w:szCs w:val="20"/>
        </w:rPr>
      </w:pPr>
      <w:r>
        <w:rPr>
          <w:sz w:val="20"/>
          <w:szCs w:val="20"/>
        </w:rPr>
      </w:r>
    </w:p>
    <w:p>
      <w:pPr>
        <w:pStyle w:val="Normal"/>
        <w:tabs>
          <w:tab w:val="clear" w:pos="720"/>
          <w:tab w:val="left" w:pos="-1800" w:leader="none"/>
          <w:tab w:val="left" w:pos="-1080" w:leader="none"/>
          <w:tab w:val="left" w:pos="-36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s>
        <w:ind w:end="-90"/>
        <w:rPr/>
      </w:pPr>
      <w:r>
        <w:rPr>
          <w:sz w:val="20"/>
          <w:szCs w:val="20"/>
        </w:rPr>
        <w:t>(k)</w:t>
        <w:tab/>
      </w:r>
      <w:r>
        <w:rPr>
          <w:b/>
          <w:bCs/>
          <w:i/>
          <w:iCs/>
          <w:sz w:val="20"/>
          <w:szCs w:val="20"/>
        </w:rPr>
        <w:t>Demands and Notices</w:t>
      </w:r>
      <w:r>
        <w:rPr>
          <w:sz w:val="20"/>
          <w:szCs w:val="20"/>
        </w:rPr>
        <w:t>.</w:t>
      </w:r>
    </w:p>
    <w:p>
      <w:pPr>
        <w:pStyle w:val="Normal"/>
        <w:tabs>
          <w:tab w:val="clear" w:pos="720"/>
          <w:tab w:val="left" w:pos="-1800" w:leader="none"/>
          <w:tab w:val="left" w:pos="-1080" w:leader="none"/>
          <w:tab w:val="left" w:pos="-36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s>
        <w:ind w:end="-90"/>
        <w:rPr>
          <w:sz w:val="20"/>
          <w:szCs w:val="20"/>
        </w:rPr>
      </w:pPr>
      <w:r>
        <w:rPr>
          <w:sz w:val="20"/>
          <w:szCs w:val="20"/>
        </w:rPr>
      </w:r>
    </w:p>
    <w:p>
      <w:pPr>
        <w:pStyle w:val="Normal"/>
        <w:tabs>
          <w:tab w:val="clear" w:pos="720"/>
          <w:tab w:val="left" w:pos="-1800" w:leader="none"/>
          <w:tab w:val="left" w:pos="-1080" w:leader="none"/>
          <w:tab w:val="left" w:pos="-36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s>
        <w:ind w:start="360" w:end="-90"/>
        <w:rPr>
          <w:sz w:val="20"/>
          <w:szCs w:val="20"/>
        </w:rPr>
      </w:pPr>
      <w:r>
        <w:rPr>
          <w:sz w:val="20"/>
          <w:szCs w:val="20"/>
        </w:rPr>
        <w:t>All demands, specifications and notices under this Annex will be made pursuant to the Notices Section of this Agreement</w:t>
      </w:r>
    </w:p>
    <w:p>
      <w:pPr>
        <w:pStyle w:val="Normal"/>
        <w:tabs>
          <w:tab w:val="clear" w:pos="720"/>
          <w:tab w:val="left" w:pos="-1800" w:leader="none"/>
          <w:tab w:val="left" w:pos="-1080" w:leader="none"/>
          <w:tab w:val="left" w:pos="-36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s>
        <w:ind w:end="-90"/>
        <w:rPr>
          <w:sz w:val="20"/>
          <w:szCs w:val="20"/>
        </w:rPr>
      </w:pPr>
      <w:r>
        <w:rPr>
          <w:sz w:val="20"/>
          <w:szCs w:val="20"/>
        </w:rPr>
      </w:r>
    </w:p>
    <w:p>
      <w:pPr>
        <w:pStyle w:val="Normal"/>
        <w:tabs>
          <w:tab w:val="clear" w:pos="720"/>
          <w:tab w:val="left" w:pos="-1800" w:leader="none"/>
          <w:tab w:val="left" w:pos="-1080" w:leader="none"/>
          <w:tab w:val="left" w:pos="-36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s>
        <w:ind w:end="-90"/>
        <w:rPr/>
      </w:pPr>
      <w:r>
        <w:rPr>
          <w:sz w:val="20"/>
          <w:szCs w:val="20"/>
        </w:rPr>
        <w:t>(l)</w:t>
        <w:tab/>
      </w:r>
      <w:r>
        <w:rPr>
          <w:b/>
          <w:bCs/>
          <w:i/>
          <w:iCs/>
          <w:sz w:val="20"/>
          <w:szCs w:val="20"/>
        </w:rPr>
        <w:t>Addresses for Transfers</w:t>
      </w:r>
      <w:r>
        <w:rPr>
          <w:sz w:val="20"/>
          <w:szCs w:val="20"/>
        </w:rPr>
        <w:t>.</w:t>
      </w:r>
    </w:p>
    <w:p>
      <w:pPr>
        <w:pStyle w:val="Normal"/>
        <w:tabs>
          <w:tab w:val="clear" w:pos="720"/>
          <w:tab w:val="left" w:pos="-1800" w:leader="none"/>
          <w:tab w:val="left" w:pos="-1080" w:leader="none"/>
          <w:tab w:val="left" w:pos="-36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s>
        <w:ind w:end="-90"/>
        <w:rPr>
          <w:sz w:val="20"/>
          <w:szCs w:val="20"/>
        </w:rPr>
      </w:pPr>
      <w:r>
        <w:rPr>
          <w:sz w:val="20"/>
          <w:szCs w:val="20"/>
        </w:rPr>
      </w:r>
    </w:p>
    <w:p>
      <w:pPr>
        <w:pStyle w:val="Normal"/>
        <w:tabs>
          <w:tab w:val="clear" w:pos="720"/>
          <w:tab w:val="right" w:pos="8820" w:leader="dot"/>
        </w:tabs>
        <w:ind w:start="1080" w:end="-90"/>
        <w:rPr>
          <w:sz w:val="20"/>
          <w:szCs w:val="20"/>
        </w:rPr>
      </w:pPr>
      <w:r>
        <w:rPr>
          <w:sz w:val="20"/>
          <w:szCs w:val="20"/>
        </w:rPr>
        <w:t>Party A:</w:t>
        <w:tab/>
      </w:r>
    </w:p>
    <w:p>
      <w:pPr>
        <w:pStyle w:val="Normal"/>
        <w:tabs>
          <w:tab w:val="clear" w:pos="720"/>
          <w:tab w:val="left" w:pos="-1800" w:leader="none"/>
          <w:tab w:val="left" w:pos="-1080" w:leader="none"/>
          <w:tab w:val="left" w:pos="-36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s>
        <w:ind w:end="-90"/>
        <w:rPr>
          <w:sz w:val="20"/>
          <w:szCs w:val="20"/>
        </w:rPr>
      </w:pPr>
      <w:r>
        <w:rPr>
          <w:sz w:val="20"/>
          <w:szCs w:val="20"/>
        </w:rPr>
      </w:r>
    </w:p>
    <w:p>
      <w:pPr>
        <w:pStyle w:val="Normal"/>
        <w:tabs>
          <w:tab w:val="clear" w:pos="720"/>
          <w:tab w:val="right" w:pos="8820" w:leader="dot"/>
        </w:tabs>
        <w:ind w:start="1080" w:end="-90"/>
        <w:rPr>
          <w:sz w:val="20"/>
          <w:szCs w:val="20"/>
        </w:rPr>
      </w:pPr>
      <w:r>
        <w:rPr>
          <w:sz w:val="20"/>
          <w:szCs w:val="20"/>
        </w:rPr>
        <w:tab/>
      </w:r>
    </w:p>
    <w:p>
      <w:pPr>
        <w:pStyle w:val="Normal"/>
        <w:tabs>
          <w:tab w:val="clear" w:pos="720"/>
          <w:tab w:val="left" w:pos="-1800" w:leader="none"/>
          <w:tab w:val="left" w:pos="-1080" w:leader="none"/>
          <w:tab w:val="left" w:pos="-36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s>
        <w:ind w:end="-90"/>
        <w:rPr>
          <w:sz w:val="20"/>
          <w:szCs w:val="20"/>
        </w:rPr>
      </w:pPr>
      <w:r>
        <w:rPr>
          <w:sz w:val="20"/>
          <w:szCs w:val="20"/>
        </w:rPr>
      </w:r>
    </w:p>
    <w:p>
      <w:pPr>
        <w:pStyle w:val="Normal"/>
        <w:tabs>
          <w:tab w:val="clear" w:pos="720"/>
          <w:tab w:val="left" w:pos="-1800" w:leader="none"/>
          <w:tab w:val="left" w:pos="-1080" w:leader="none"/>
          <w:tab w:val="left" w:pos="-36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s>
        <w:ind w:start="1080" w:end="-90"/>
        <w:rPr>
          <w:sz w:val="20"/>
          <w:szCs w:val="20"/>
        </w:rPr>
      </w:pPr>
      <w:r>
        <w:rPr>
          <w:sz w:val="20"/>
          <w:szCs w:val="20"/>
        </w:rPr>
        <w:t>Party B: JPMorgan Chase, ABA #021000021, account name: International Paper Company, account number: 0361046469</w:t>
      </w:r>
    </w:p>
    <w:p>
      <w:pPr>
        <w:pStyle w:val="Normal"/>
        <w:tabs>
          <w:tab w:val="clear" w:pos="720"/>
          <w:tab w:val="left" w:pos="-1800" w:leader="none"/>
          <w:tab w:val="left" w:pos="-1080" w:leader="none"/>
          <w:tab w:val="left" w:pos="-36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s>
        <w:ind w:start="1080" w:end="-90"/>
        <w:rPr>
          <w:sz w:val="20"/>
          <w:szCs w:val="20"/>
        </w:rPr>
      </w:pPr>
      <w:r>
        <w:rPr>
          <w:sz w:val="20"/>
          <w:szCs w:val="20"/>
        </w:rPr>
      </w:r>
    </w:p>
    <w:p>
      <w:pPr>
        <w:pStyle w:val="Normal"/>
        <w:tabs>
          <w:tab w:val="clear" w:pos="720"/>
          <w:tab w:val="left" w:pos="-1800" w:leader="none"/>
          <w:tab w:val="left" w:pos="-1080" w:leader="none"/>
          <w:tab w:val="left" w:pos="-36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s>
        <w:rPr/>
      </w:pPr>
      <w:r>
        <w:rPr>
          <w:sz w:val="20"/>
          <w:szCs w:val="20"/>
        </w:rPr>
        <w:t>(m)</w:t>
        <w:tab/>
      </w:r>
      <w:r>
        <w:rPr>
          <w:b/>
          <w:bCs/>
          <w:i/>
          <w:iCs/>
          <w:sz w:val="20"/>
          <w:szCs w:val="20"/>
        </w:rPr>
        <w:t>Other Provisions</w:t>
      </w:r>
      <w:r>
        <w:rPr>
          <w:sz w:val="20"/>
          <w:szCs w:val="20"/>
        </w:rPr>
        <w:t>. None.</w:t>
      </w:r>
    </w:p>
    <w:p>
      <w:pPr>
        <w:pStyle w:val="Normal"/>
        <w:tabs>
          <w:tab w:val="clear" w:pos="720"/>
          <w:tab w:val="left" w:pos="-1800" w:leader="none"/>
          <w:tab w:val="left" w:pos="-1080" w:leader="none"/>
          <w:tab w:val="left" w:pos="-36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s>
        <w:rPr>
          <w:sz w:val="20"/>
          <w:szCs w:val="20"/>
        </w:rPr>
      </w:pPr>
      <w:r>
        <w:rPr>
          <w:sz w:val="20"/>
          <w:szCs w:val="20"/>
        </w:rPr>
      </w:r>
    </w:p>
    <w:p>
      <w:pPr>
        <w:pStyle w:val="DPWNormal"/>
        <w:rPr>
          <w:sz w:val="20"/>
        </w:rPr>
      </w:pPr>
      <w:r>
        <w:rPr>
          <w:sz w:val="20"/>
        </w:rPr>
      </w:r>
    </w:p>
    <w:sectPr>
      <w:headerReference w:type="default" r:id="rId2"/>
      <w:headerReference w:type="first" r:id="rId3"/>
      <w:footerReference w:type="default" r:id="rId4"/>
      <w:footerReference w:type="first" r:id="rId5"/>
      <w:type w:val="nextPage"/>
      <w:pgSz w:w="12240" w:h="15840"/>
      <w:pgMar w:left="2160" w:right="2160" w:gutter="0" w:header="720" w:top="1440" w:footer="108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Arial Black">
    <w:charset w:val="00" w:characterSet="windows-1252"/>
    <w:family w:val="swiss"/>
    <w:pitch w:val="variable"/>
  </w:font>
  <w:font w:name="Copperplate">
    <w:charset w:val="00" w:characterSet="windows-1252"/>
    <w:family w:val="auto"/>
    <w:pitch w:val="variable"/>
  </w:font>
  <w:font w:name="CG Times">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rPr>
    </w:pPr>
    <w:r>
      <w:rPr/>
      <w:tab/>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Normal"/>
      <w:tabs>
        <w:tab w:val="clear" w:pos="720"/>
        <w:tab w:val="right" w:pos="7920" w:leader="none"/>
      </w:tabs>
      <w:rPr/>
    </w:pPr>
    <w:r>
      <w:rPr>
        <w:sz w:val="14"/>
      </w:rPr>
      <w:fldChar w:fldCharType="begin"/>
    </w:r>
    <w:r>
      <w:rPr>
        <w:sz w:val="14"/>
      </w:rPr>
      <w:instrText xml:space="preserve"> DOCPROPERTY "DPWPathText"</w:instrText>
    </w:r>
    <w:r>
      <w:rPr>
        <w:sz w:val="14"/>
      </w:rPr>
      <w:fldChar w:fldCharType="separate"/>
    </w:r>
    <w:r>
      <w:rPr>
        <w:sz w:val="14"/>
      </w:rPr>
      <w:t>(NY) 10650/001/ISDA/section13.doc</w:t>
    </w:r>
    <w:r>
      <w:rPr>
        <w:sz w:val="14"/>
      </w:rPr>
      <w:fldChar w:fldCharType="end"/>
    </w:r>
    <w:r>
      <w:rPr>
        <w:sz w:val="14"/>
      </w:rPr>
      <w:tab/>
    </w:r>
    <w:r>
      <w:rPr>
        <w:sz w:val="14"/>
      </w:rPr>
      <w:fldChar w:fldCharType="begin"/>
    </w:r>
    <w:r>
      <w:rPr>
        <w:sz w:val="14"/>
      </w:rPr>
      <w:instrText xml:space="preserve"> DOCPROPERTY "DPWDraftDate"</w:instrText>
    </w:r>
    <w:r>
      <w:rPr>
        <w:sz w:val="14"/>
      </w:rPr>
      <w:fldChar w:fldCharType="separate"/>
    </w:r>
    <w:r>
      <w:rPr>
        <w:sz w:val="14"/>
      </w:rPr>
      <w:t>04/25/01 3:29 PM</w:t>
    </w:r>
    <w:r>
      <w:rPr>
        <w:sz w:val="14"/>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Normal"/>
      <w:tabs>
        <w:tab w:val="clear" w:pos="720"/>
        <w:tab w:val="right" w:pos="7920" w:leader="none"/>
      </w:tabs>
      <w:rPr/>
    </w:pPr>
    <w:r>
      <w:rPr>
        <w:sz w:val="14"/>
      </w:rPr>
      <w:fldChar w:fldCharType="begin"/>
    </w:r>
    <w:r>
      <w:rPr>
        <w:sz w:val="14"/>
      </w:rPr>
      <w:instrText xml:space="preserve"> DOCPROPERTY "DPWPathText"</w:instrText>
    </w:r>
    <w:r>
      <w:rPr>
        <w:sz w:val="14"/>
      </w:rPr>
      <w:fldChar w:fldCharType="separate"/>
    </w:r>
    <w:r>
      <w:rPr>
        <w:sz w:val="14"/>
      </w:rPr>
      <w:t>(NY) 10650/001/ISDA/section13.doc</w:t>
    </w:r>
    <w:r>
      <w:rPr>
        <w:sz w:val="14"/>
      </w:rPr>
      <w:fldChar w:fldCharType="end"/>
    </w:r>
    <w:r>
      <w:rPr>
        <w:sz w:val="14"/>
      </w:rPr>
      <w:tab/>
    </w:r>
    <w:r>
      <w:rPr>
        <w:sz w:val="14"/>
      </w:rPr>
      <w:fldChar w:fldCharType="begin"/>
    </w:r>
    <w:r>
      <w:rPr>
        <w:sz w:val="14"/>
      </w:rPr>
      <w:instrText xml:space="preserve"> DOCPROPERTY "DPWDraftDate"</w:instrText>
    </w:r>
    <w:r>
      <w:rPr>
        <w:sz w:val="14"/>
      </w:rPr>
      <w:fldChar w:fldCharType="separate"/>
    </w:r>
    <w:r>
      <w:rPr>
        <w:sz w:val="14"/>
      </w:rPr>
      <w:t>04/25/01 3:29 PM</w:t>
    </w:r>
    <w:r>
      <w:rPr>
        <w:sz w:val="14"/>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24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24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suff w:val="nothing"/>
      <w:lvlText w:val="Article %1"/>
      <w:lvlJc w:val="start"/>
      <w:pPr>
        <w:tabs>
          <w:tab w:val="num" w:pos="0"/>
        </w:tabs>
        <w:ind w:start="0" w:hanging="0"/>
      </w:pPr>
      <w:rPr>
        <w:caps/>
      </w:rPr>
    </w:lvl>
    <w:lvl w:ilvl="1">
      <w:start w:val="1"/>
      <w:numFmt w:val="decimalZero"/>
      <w:suff w:val="nothing"/>
      <w:lvlText w:val="Section %1.%2"/>
      <w:lvlJc w:val="start"/>
      <w:pPr>
        <w:tabs>
          <w:tab w:val="num" w:pos="0"/>
        </w:tabs>
        <w:ind w:start="0" w:firstLine="720"/>
      </w:pPr>
      <w:rPr/>
    </w:lvl>
    <w:lvl w:ilvl="2">
      <w:start w:val="1"/>
      <w:numFmt w:val="lowerLetter"/>
      <w:lvlText w:val="(%3)"/>
      <w:lvlJc w:val="end"/>
      <w:pPr>
        <w:tabs>
          <w:tab w:val="num" w:pos="1296"/>
        </w:tabs>
        <w:ind w:start="0" w:firstLine="936"/>
      </w:pPr>
      <w:rPr/>
    </w:lvl>
    <w:lvl w:ilvl="3">
      <w:start w:val="1"/>
      <w:numFmt w:val="lowerRoman"/>
      <w:lvlText w:val="(%4)"/>
      <w:lvlJc w:val="end"/>
      <w:pPr>
        <w:tabs>
          <w:tab w:val="num" w:pos="2160"/>
        </w:tabs>
        <w:ind w:start="720" w:firstLine="1080"/>
      </w:pPr>
      <w:rPr/>
    </w:lvl>
    <w:lvl w:ilvl="4">
      <w:start w:val="1"/>
      <w:numFmt w:val="upperLetter"/>
      <w:lvlText w:val="(%5)"/>
      <w:lvlJc w:val="end"/>
      <w:pPr>
        <w:tabs>
          <w:tab w:val="num" w:pos="3024"/>
        </w:tabs>
        <w:ind w:start="1512" w:firstLine="1152"/>
      </w:pPr>
      <w:rPr/>
    </w:lvl>
    <w:lvl w:ilvl="5">
      <w:start w:val="1"/>
      <w:numFmt w:val="decimal"/>
      <w:lvlText w:val="(%6)"/>
      <w:lvlJc w:val="end"/>
      <w:pPr>
        <w:tabs>
          <w:tab w:val="num" w:pos="3960"/>
        </w:tabs>
        <w:ind w:start="2304" w:firstLine="1296"/>
      </w:pPr>
      <w:rPr/>
    </w:lvl>
    <w:lvl w:ilvl="6">
      <w:start w:val="1"/>
      <w:numFmt w:val="none"/>
      <w:suff w:val="nothing"/>
      <w:lvlText w:val="%7"/>
      <w:lvlJc w:val="start"/>
      <w:pPr>
        <w:tabs>
          <w:tab w:val="num" w:pos="360"/>
        </w:tabs>
        <w:ind w:start="0" w:hanging="0"/>
      </w:pPr>
      <w:rPr/>
    </w:lvl>
    <w:lvl w:ilvl="7">
      <w:start w:val="1"/>
      <w:numFmt w:val="none"/>
      <w:suff w:val="nothing"/>
      <w:lvlText w:val="%8"/>
      <w:lvlJc w:val="start"/>
      <w:pPr>
        <w:tabs>
          <w:tab w:val="num" w:pos="360"/>
        </w:tabs>
        <w:ind w:start="0" w:hanging="0"/>
      </w:pPr>
      <w:rPr/>
    </w:lvl>
    <w:lvl w:ilvl="8">
      <w:start w:val="1"/>
      <w:numFmt w:val="none"/>
      <w:suff w:val="nothing"/>
      <w:lvlText w:val="%9"/>
      <w:lvlJc w:val="start"/>
      <w:pPr>
        <w:tabs>
          <w:tab w:val="num" w:pos="360"/>
        </w:tabs>
        <w:ind w:start="0" w:hanging="0"/>
      </w:pPr>
      <w:rPr/>
    </w:lvl>
  </w:abstractNum>
  <w:abstractNum w:abstractNumId="3">
    <w:lvl w:ilvl="0">
      <w:start w:val="1"/>
      <w:numFmt w:val="bullet"/>
      <w:lvlText w:val=""/>
      <w:lvlJc w:val="start"/>
      <w:pPr>
        <w:tabs>
          <w:tab w:val="num" w:pos="1440"/>
        </w:tabs>
        <w:ind w:start="1440" w:hanging="720"/>
      </w:pPr>
      <w:rPr>
        <w:rFonts w:ascii="Symbol" w:hAnsi="Symbol" w:cs="Symbol" w:hint="default"/>
      </w:rPr>
    </w:lvl>
  </w:abstractNum>
  <w:abstractNum w:abstractNumId="4">
    <w:lvl w:ilvl="0">
      <w:start w:val="1"/>
      <w:numFmt w:val="bullet"/>
      <w:lvlText w:val=""/>
      <w:lvlJc w:val="start"/>
      <w:pPr>
        <w:tabs>
          <w:tab w:val="num" w:pos="720"/>
        </w:tabs>
        <w:ind w:start="720" w:hanging="720"/>
      </w:pPr>
      <w:rPr>
        <w:rFonts w:ascii="Symbol" w:hAnsi="Symbol" w:cs="Symbol" w:hint="default"/>
      </w:rPr>
    </w:lvl>
  </w:abstractNum>
  <w:abstractNum w:abstractNumId="5">
    <w:lvl w:ilvl="0">
      <w:start w:val="1"/>
      <w:numFmt w:val="decimal"/>
      <w:suff w:val="nothing"/>
      <w:lvlText w:val="Article %1"/>
      <w:lvlJc w:val="start"/>
      <w:pPr>
        <w:tabs>
          <w:tab w:val="num" w:pos="0"/>
        </w:tabs>
        <w:ind w:start="0" w:hanging="0"/>
      </w:pPr>
      <w:rPr>
        <w:caps/>
      </w:rPr>
    </w:lvl>
    <w:lvl w:ilvl="1">
      <w:start w:val="1"/>
      <w:isLgl/>
      <w:numFmt w:val="decimalZero"/>
      <w:suff w:val="nothing"/>
      <w:lvlText w:val="Section %1.%2"/>
      <w:lvlJc w:val="start"/>
      <w:pPr>
        <w:tabs>
          <w:tab w:val="num" w:pos="0"/>
        </w:tabs>
        <w:ind w:start="0" w:firstLine="720"/>
      </w:pPr>
      <w:rPr/>
    </w:lvl>
    <w:lvl w:ilvl="2">
      <w:start w:val="1"/>
      <w:numFmt w:val="lowerLetter"/>
      <w:suff w:val="space"/>
      <w:lvlText w:val="(%3) "/>
      <w:lvlJc w:val="end"/>
      <w:pPr>
        <w:tabs>
          <w:tab w:val="num" w:pos="0"/>
        </w:tabs>
        <w:ind w:start="0" w:firstLine="936"/>
      </w:pPr>
      <w:rPr/>
    </w:lvl>
    <w:lvl w:ilvl="3">
      <w:start w:val="1"/>
      <w:numFmt w:val="lowerRoman"/>
      <w:suff w:val="space"/>
      <w:lvlText w:val="(%4) "/>
      <w:lvlJc w:val="end"/>
      <w:pPr>
        <w:tabs>
          <w:tab w:val="num" w:pos="0"/>
        </w:tabs>
        <w:ind w:start="720" w:firstLine="1080"/>
      </w:pPr>
      <w:rPr/>
    </w:lvl>
    <w:lvl w:ilvl="4">
      <w:start w:val="1"/>
      <w:numFmt w:val="upperLetter"/>
      <w:suff w:val="space"/>
      <w:lvlText w:val="(%5) "/>
      <w:lvlJc w:val="end"/>
      <w:pPr>
        <w:tabs>
          <w:tab w:val="num" w:pos="0"/>
        </w:tabs>
        <w:ind w:start="1512" w:firstLine="1152"/>
      </w:pPr>
      <w:rPr/>
    </w:lvl>
    <w:lvl w:ilvl="5">
      <w:start w:val="1"/>
      <w:numFmt w:val="decimal"/>
      <w:suff w:val="space"/>
      <w:lvlText w:val="(%6) "/>
      <w:lvlJc w:val="end"/>
      <w:pPr>
        <w:tabs>
          <w:tab w:val="num" w:pos="0"/>
        </w:tabs>
        <w:ind w:start="2304" w:firstLine="1296"/>
      </w:pPr>
      <w:rPr/>
    </w:lvl>
    <w:lvl w:ilvl="6">
      <w:start w:val="1"/>
      <w:numFmt w:val="none"/>
      <w:suff w:val="nothing"/>
      <w:lvlText w:val="%7"/>
      <w:lvlJc w:val="end"/>
      <w:pPr>
        <w:tabs>
          <w:tab w:val="num" w:pos="1296"/>
        </w:tabs>
        <w:ind w:start="1296" w:hanging="288"/>
      </w:pPr>
      <w:rPr/>
    </w:lvl>
    <w:lvl w:ilvl="7">
      <w:start w:val="1"/>
      <w:numFmt w:val="none"/>
      <w:suff w:val="nothing"/>
      <w:lvlText w:val="%8"/>
      <w:lvlJc w:val="start"/>
      <w:pPr>
        <w:tabs>
          <w:tab w:val="num" w:pos="1440"/>
        </w:tabs>
        <w:ind w:start="1440" w:hanging="432"/>
      </w:pPr>
      <w:rPr/>
    </w:lvl>
    <w:lvl w:ilvl="8">
      <w:start w:val="1"/>
      <w:numFmt w:val="none"/>
      <w:suff w:val="nothing"/>
      <w:lvlText w:val="%9"/>
      <w:lvlJc w:val="end"/>
      <w:pPr>
        <w:tabs>
          <w:tab w:val="num" w:pos="1584"/>
        </w:tabs>
        <w:ind w:start="1584" w:hanging="144"/>
      </w:pPr>
      <w:rPr/>
    </w:lvl>
  </w:abstractNum>
  <w:abstractNum w:abstractNumId="6">
    <w:lvl w:ilvl="0">
      <w:start w:val="1"/>
      <w:numFmt w:val="decimal"/>
      <w:lvlText w:val="%1."/>
      <w:lvlJc w:val="start"/>
      <w:pPr>
        <w:tabs>
          <w:tab w:val="num" w:pos="720"/>
        </w:tabs>
        <w:ind w:start="720" w:hanging="720"/>
      </w:pPr>
      <w:rPr/>
    </w:lvl>
    <w:lvl w:ilvl="1">
      <w:start w:val="1"/>
      <w:numFmt w:val="decimal"/>
      <w:lvlText w:val="%2."/>
      <w:lvlJc w:val="start"/>
      <w:pPr>
        <w:tabs>
          <w:tab w:val="num" w:pos="1440"/>
        </w:tabs>
        <w:ind w:start="1440" w:hanging="720"/>
      </w:pPr>
      <w:r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7">
    <w:lvl w:ilvl="0">
      <w:start w:val="1"/>
      <w:numFmt w:val="decimal"/>
      <w:suff w:val="nothing"/>
      <w:lvlText w:val="Article %1"/>
      <w:lvlJc w:val="start"/>
      <w:pPr>
        <w:tabs>
          <w:tab w:val="num" w:pos="0"/>
        </w:tabs>
        <w:ind w:start="0" w:hanging="0"/>
      </w:pPr>
      <w:rPr>
        <w:caps/>
      </w:rPr>
    </w:lvl>
    <w:lvl w:ilvl="1">
      <w:start w:val="1"/>
      <w:isLgl/>
      <w:numFmt w:val="decimalZero"/>
      <w:suff w:val="space"/>
      <w:lvlText w:val="Section %1.%2. "/>
      <w:lvlJc w:val="start"/>
      <w:pPr>
        <w:tabs>
          <w:tab w:val="num" w:pos="0"/>
        </w:tabs>
        <w:ind w:start="0" w:firstLine="720"/>
      </w:pPr>
      <w:rPr/>
    </w:lvl>
    <w:lvl w:ilvl="2">
      <w:start w:val="1"/>
      <w:numFmt w:val="lowerLetter"/>
      <w:suff w:val="space"/>
      <w:lvlText w:val="(%3) "/>
      <w:lvlJc w:val="end"/>
      <w:pPr>
        <w:tabs>
          <w:tab w:val="num" w:pos="0"/>
        </w:tabs>
        <w:ind w:start="0" w:firstLine="936"/>
      </w:pPr>
      <w:rPr/>
    </w:lvl>
    <w:lvl w:ilvl="3">
      <w:start w:val="1"/>
      <w:numFmt w:val="lowerRoman"/>
      <w:suff w:val="space"/>
      <w:lvlText w:val="(%4) "/>
      <w:lvlJc w:val="end"/>
      <w:pPr>
        <w:tabs>
          <w:tab w:val="num" w:pos="0"/>
        </w:tabs>
        <w:ind w:start="720" w:firstLine="1080"/>
      </w:pPr>
      <w:rPr/>
    </w:lvl>
    <w:lvl w:ilvl="4">
      <w:start w:val="1"/>
      <w:numFmt w:val="upperLetter"/>
      <w:suff w:val="space"/>
      <w:lvlText w:val="(%5) "/>
      <w:lvlJc w:val="end"/>
      <w:pPr>
        <w:tabs>
          <w:tab w:val="num" w:pos="0"/>
        </w:tabs>
        <w:ind w:start="1512" w:firstLine="1152"/>
      </w:pPr>
      <w:rPr/>
    </w:lvl>
    <w:lvl w:ilvl="5">
      <w:start w:val="1"/>
      <w:numFmt w:val="decimal"/>
      <w:suff w:val="space"/>
      <w:lvlText w:val="(%6) "/>
      <w:lvlJc w:val="end"/>
      <w:pPr>
        <w:tabs>
          <w:tab w:val="num" w:pos="0"/>
        </w:tabs>
        <w:ind w:start="2304" w:firstLine="1296"/>
      </w:pPr>
      <w:rPr/>
    </w:lvl>
    <w:lvl w:ilvl="6">
      <w:start w:val="1"/>
      <w:numFmt w:val="none"/>
      <w:suff w:val="nothing"/>
      <w:lvlText w:val="%7"/>
      <w:lvlJc w:val="end"/>
      <w:pPr>
        <w:tabs>
          <w:tab w:val="num" w:pos="1296"/>
        </w:tabs>
        <w:ind w:start="1296" w:hanging="288"/>
      </w:pPr>
      <w:rPr/>
    </w:lvl>
    <w:lvl w:ilvl="7">
      <w:start w:val="1"/>
      <w:numFmt w:val="none"/>
      <w:suff w:val="nothing"/>
      <w:lvlText w:val="%8"/>
      <w:lvlJc w:val="start"/>
      <w:pPr>
        <w:tabs>
          <w:tab w:val="num" w:pos="1440"/>
        </w:tabs>
        <w:ind w:start="1440" w:hanging="432"/>
      </w:pPr>
      <w:rPr/>
    </w:lvl>
    <w:lvl w:ilvl="8">
      <w:start w:val="1"/>
      <w:numFmt w:val="none"/>
      <w:suff w:val="nothing"/>
      <w:lvlText w:val="%9"/>
      <w:lvlJc w:val="end"/>
      <w:pPr>
        <w:tabs>
          <w:tab w:val="num" w:pos="1584"/>
        </w:tabs>
        <w:ind w:start="1584" w:hanging="144"/>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DPWNormal"/>
    <w:next w:val="Normal"/>
    <w:qFormat/>
    <w:pPr>
      <w:keepNext w:val="true"/>
      <w:numPr>
        <w:ilvl w:val="0"/>
        <w:numId w:val="1"/>
      </w:numPr>
      <w:spacing w:before="0" w:after="360"/>
      <w:outlineLvl w:val="0"/>
    </w:pPr>
    <w:rPr>
      <w:b/>
      <w:bCs/>
      <w:kern w:val="2"/>
      <w:sz w:val="28"/>
      <w:szCs w:val="32"/>
    </w:rPr>
  </w:style>
  <w:style w:type="paragraph" w:styleId="Heading2">
    <w:name w:val="heading 2"/>
    <w:basedOn w:val="DPWNormal"/>
    <w:next w:val="DPWNormal"/>
    <w:qFormat/>
    <w:pPr>
      <w:keepNext w:val="true"/>
      <w:numPr>
        <w:ilvl w:val="1"/>
        <w:numId w:val="1"/>
      </w:numPr>
      <w:spacing w:before="0" w:after="240"/>
      <w:outlineLvl w:val="1"/>
    </w:pPr>
    <w:rPr>
      <w:b/>
      <w:bCs/>
    </w:rPr>
  </w:style>
  <w:style w:type="character" w:styleId="WW8Num1z0">
    <w:name w:val="WW8Num1z0"/>
    <w:qFormat/>
    <w:rPr>
      <w:caps/>
    </w:rPr>
  </w:style>
  <w:style w:type="character" w:styleId="WW8Num1z1">
    <w:name w:val="WW8Num1z1"/>
    <w:qFormat/>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style>
  <w:style w:type="character" w:styleId="WW8Num6z0">
    <w:name w:val="WW8Num6z0"/>
    <w:qFormat/>
    <w:rPr>
      <w:caps/>
    </w:rPr>
  </w:style>
  <w:style w:type="character" w:styleId="WW8Num6z1">
    <w:name w:val="WW8Num6z1"/>
    <w:qFormat/>
    <w:rPr/>
  </w:style>
  <w:style w:type="character" w:styleId="WW8Num7z0">
    <w:name w:val="WW8Num7z0"/>
    <w:qFormat/>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9z0">
    <w:name w:val="WW8Num9z0"/>
    <w:qFormat/>
    <w:rPr>
      <w:caps/>
    </w:rPr>
  </w:style>
  <w:style w:type="character" w:styleId="WW8Num9z1">
    <w:name w:val="WW8Num9z1"/>
    <w:qFormat/>
    <w:rPr/>
  </w:style>
  <w:style w:type="character" w:styleId="WW8Num10z0">
    <w:name w:val="WW8Num10z0"/>
    <w:qFormat/>
    <w:rPr>
      <w:rFonts w:ascii="Symbol" w:hAnsi="Symbol" w:cs="Symbol"/>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1z0">
    <w:name w:val="WW8Num11z0"/>
    <w:qFormat/>
    <w:rPr/>
  </w:style>
  <w:style w:type="character" w:styleId="DefaultParagraphFont">
    <w:name w:val="Default Paragraph Font"/>
    <w:qFormat/>
    <w:rPr/>
  </w:style>
  <w:style w:type="character" w:styleId="CommentReference">
    <w:name w:val="Comment Reference"/>
    <w:basedOn w:val="DefaultParagraphFont"/>
    <w:qFormat/>
    <w:rPr>
      <w:sz w:val="16"/>
      <w:szCs w:val="16"/>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Hyperlink">
    <w:name w:val="Hyperlink"/>
    <w:basedOn w:val="DefaultParagraphFont"/>
    <w:rPr>
      <w:color w:val="0000FF"/>
      <w:u w:val="single"/>
    </w:rPr>
  </w:style>
  <w:style w:type="character" w:styleId="EndnoteCharacters">
    <w:name w:val="Endnote Characters"/>
    <w:basedOn w:val="DefaultParagraphFont"/>
    <w:qFormat/>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PWNormal">
    <w:name w:val="DPW Normal"/>
    <w:basedOn w:val="Normal"/>
    <w:qFormat/>
    <w:pPr/>
    <w:rPr/>
  </w:style>
  <w:style w:type="paragraph" w:styleId="CommentText">
    <w:name w:val="Comment Text"/>
    <w:basedOn w:val="Normal"/>
    <w:qFormat/>
    <w:pPr/>
    <w:rPr>
      <w:sz w:val="20"/>
      <w:szCs w:val="20"/>
    </w:rPr>
  </w:style>
  <w:style w:type="paragraph" w:styleId="DPWBlock1">
    <w:name w:val="DPW Block1"/>
    <w:basedOn w:val="DPWNormal"/>
    <w:qFormat/>
    <w:pPr>
      <w:spacing w:before="0" w:after="240"/>
      <w:ind w:hanging="0" w:start="1440" w:end="1440"/>
    </w:pPr>
    <w:rPr/>
  </w:style>
  <w:style w:type="paragraph" w:styleId="DPWBlock2">
    <w:name w:val="DPW Block2"/>
    <w:basedOn w:val="DPWNormal"/>
    <w:qFormat/>
    <w:pPr>
      <w:spacing w:lineRule="auto" w:line="480"/>
      <w:ind w:hanging="0" w:start="1440" w:end="1440"/>
    </w:pPr>
    <w:rPr/>
  </w:style>
  <w:style w:type="paragraph" w:styleId="DPWBullet1">
    <w:name w:val="DPW Bullet1"/>
    <w:basedOn w:val="DPWNormal"/>
    <w:qFormat/>
    <w:pPr>
      <w:numPr>
        <w:ilvl w:val="0"/>
        <w:numId w:val="4"/>
      </w:numPr>
      <w:tabs>
        <w:tab w:val="clear" w:pos="720"/>
      </w:tabs>
      <w:spacing w:before="0" w:after="240"/>
    </w:pPr>
    <w:rPr/>
  </w:style>
  <w:style w:type="paragraph" w:styleId="DPWBullet2">
    <w:name w:val="DPW Bullet2"/>
    <w:basedOn w:val="DPWNormal"/>
    <w:qFormat/>
    <w:pPr>
      <w:numPr>
        <w:ilvl w:val="0"/>
        <w:numId w:val="3"/>
      </w:numPr>
      <w:tabs>
        <w:tab w:val="clear" w:pos="720"/>
      </w:tabs>
      <w:spacing w:before="0" w:after="240"/>
    </w:pPr>
    <w:rPr/>
  </w:style>
  <w:style w:type="paragraph" w:styleId="DPWConfHeader">
    <w:name w:val="DPW Conf Header"/>
    <w:basedOn w:val="DPWNormal"/>
    <w:qFormat/>
    <w:pPr>
      <w:jc w:val="end"/>
    </w:pPr>
    <w:rPr>
      <w:rFonts w:ascii="Arial Black" w:hAnsi="Arial Black" w:cs="Arial Black"/>
      <w:caps/>
      <w:sz w:val="18"/>
    </w:rPr>
  </w:style>
  <w:style w:type="paragraph" w:styleId="DPWContd1">
    <w:name w:val="DPW Cont'd1"/>
    <w:basedOn w:val="DPWNormal"/>
    <w:qFormat/>
    <w:pPr>
      <w:spacing w:before="0" w:after="240"/>
      <w:ind w:hanging="0" w:start="720" w:end="0"/>
    </w:pPr>
    <w:rPr/>
  </w:style>
  <w:style w:type="paragraph" w:styleId="DPWContd2">
    <w:name w:val="DPW Cont'd2"/>
    <w:basedOn w:val="DPWNormal"/>
    <w:qFormat/>
    <w:pPr>
      <w:spacing w:before="0" w:after="240"/>
      <w:ind w:hanging="0" w:start="1440" w:end="0"/>
    </w:pPr>
    <w:rPr/>
  </w:style>
  <w:style w:type="paragraph" w:styleId="DPWDate">
    <w:name w:val="DPW Date"/>
    <w:basedOn w:val="DPWNormal"/>
    <w:qFormat/>
    <w:pPr>
      <w:spacing w:before="0" w:after="240"/>
      <w:ind w:hanging="0" w:start="4320" w:end="0"/>
    </w:pPr>
    <w:rPr/>
  </w:style>
  <w:style w:type="paragraph" w:styleId="DPWDelivery">
    <w:name w:val="DPW Delivery"/>
    <w:basedOn w:val="DPWNormal"/>
    <w:qFormat/>
    <w:pPr>
      <w:spacing w:before="240" w:after="0"/>
    </w:pPr>
    <w:rPr>
      <w:u w:val="double"/>
    </w:rPr>
  </w:style>
  <w:style w:type="paragraph" w:styleId="DPWHeadCenterBold">
    <w:name w:val="DPW Head Center Bold"/>
    <w:basedOn w:val="DPWNormal"/>
    <w:next w:val="DPWNormal"/>
    <w:qFormat/>
    <w:pPr>
      <w:keepNext w:val="true"/>
      <w:spacing w:before="0" w:after="240"/>
      <w:jc w:val="center"/>
    </w:pPr>
    <w:rPr>
      <w:b/>
      <w:bCs/>
    </w:rPr>
  </w:style>
  <w:style w:type="paragraph" w:styleId="DPWHeadLeftBoldItal">
    <w:name w:val="DPW Head Left Bold Ital"/>
    <w:basedOn w:val="DPWNormal"/>
    <w:next w:val="DPWNormal"/>
    <w:qFormat/>
    <w:pPr>
      <w:keepNext w:val="true"/>
      <w:spacing w:before="0" w:after="240"/>
    </w:pPr>
    <w:rPr>
      <w:b/>
      <w:bCs/>
      <w:i/>
      <w:iCs/>
    </w:rPr>
  </w:style>
  <w:style w:type="paragraph" w:styleId="DPWHeadLeftBold">
    <w:name w:val="DPW Head Left Bold"/>
    <w:basedOn w:val="DPWNormal"/>
    <w:next w:val="DPWNormal"/>
    <w:qFormat/>
    <w:pPr>
      <w:keepNext w:val="true"/>
      <w:spacing w:before="0" w:after="240"/>
    </w:pPr>
    <w:rPr>
      <w:b/>
      <w:bCs/>
    </w:rPr>
  </w:style>
  <w:style w:type="paragraph" w:styleId="DPWHeader">
    <w:name w:val="DPW Header"/>
    <w:basedOn w:val="DPWNormal"/>
    <w:qFormat/>
    <w:pPr>
      <w:tabs>
        <w:tab w:val="clear" w:pos="720"/>
        <w:tab w:val="left" w:pos="0" w:leader="none"/>
        <w:tab w:val="center" w:pos="3960" w:leader="none"/>
        <w:tab w:val="right" w:pos="7920" w:leader="none"/>
      </w:tabs>
      <w:spacing w:before="0" w:after="240"/>
    </w:pPr>
    <w:rPr/>
  </w:style>
  <w:style w:type="paragraph" w:styleId="DPWList1">
    <w:name w:val="DPW List1"/>
    <w:basedOn w:val="DPWNormal"/>
    <w:qFormat/>
    <w:pPr>
      <w:numPr>
        <w:ilvl w:val="0"/>
        <w:numId w:val="6"/>
      </w:numPr>
      <w:tabs>
        <w:tab w:val="clear" w:pos="720"/>
      </w:tabs>
      <w:spacing w:before="0" w:after="240"/>
    </w:pPr>
    <w:rPr/>
  </w:style>
  <w:style w:type="paragraph" w:styleId="DPWList2">
    <w:name w:val="DPW List2"/>
    <w:basedOn w:val="DPWList1"/>
    <w:qFormat/>
    <w:pPr>
      <w:numPr>
        <w:ilvl w:val="0"/>
        <w:numId w:val="6"/>
      </w:numPr>
    </w:pPr>
    <w:rPr/>
  </w:style>
  <w:style w:type="paragraph" w:styleId="DPWLogoHead">
    <w:name w:val="DPW LogoHead"/>
    <w:basedOn w:val="DPWNormal"/>
    <w:next w:val="DPWNormal"/>
    <w:qFormat/>
    <w:pPr>
      <w:spacing w:before="220" w:after="140"/>
      <w:jc w:val="center"/>
    </w:pPr>
    <w:rPr>
      <w:rFonts w:ascii="Copperplate" w:hAnsi="Copperplate" w:cs="Copperplate"/>
      <w:spacing w:val="56"/>
      <w:kern w:val="2"/>
      <w:sz w:val="30"/>
      <w:szCs w:val="20"/>
    </w:rPr>
  </w:style>
  <w:style w:type="paragraph" w:styleId="DPWPFDbl">
    <w:name w:val="DPW PF Dbl"/>
    <w:basedOn w:val="DPWNormal"/>
    <w:qFormat/>
    <w:pPr>
      <w:spacing w:lineRule="auto" w:line="480"/>
      <w:ind w:firstLine="720" w:start="0" w:end="0"/>
    </w:pPr>
    <w:rPr/>
  </w:style>
  <w:style w:type="paragraph" w:styleId="TOC3">
    <w:name w:val="toc 3"/>
    <w:basedOn w:val="Normal"/>
    <w:next w:val="Normal"/>
    <w:pPr>
      <w:ind w:hanging="0" w:start="480" w:end="0"/>
    </w:pPr>
    <w:rPr/>
  </w:style>
  <w:style w:type="paragraph" w:styleId="DPWPF">
    <w:name w:val="DPW PF"/>
    <w:basedOn w:val="DPWNormal"/>
    <w:qFormat/>
    <w:pPr>
      <w:spacing w:before="0" w:after="240"/>
      <w:ind w:firstLine="720" w:start="0" w:end="0"/>
    </w:pPr>
    <w:rPr/>
  </w:style>
  <w:style w:type="paragraph" w:styleId="DPWTerm1">
    <w:name w:val="DPW Term1"/>
    <w:basedOn w:val="DPWNormal"/>
    <w:qFormat/>
    <w:pPr>
      <w:tabs>
        <w:tab w:val="clear" w:pos="720"/>
        <w:tab w:val="left" w:pos="360" w:leader="none"/>
        <w:tab w:val="right" w:pos="3960" w:leader="dot"/>
      </w:tabs>
      <w:ind w:hanging="4320" w:start="4320" w:end="0"/>
    </w:pPr>
    <w:rPr/>
  </w:style>
  <w:style w:type="paragraph" w:styleId="DPWTerm2">
    <w:name w:val="DPW Term2"/>
    <w:basedOn w:val="DPWNormal"/>
    <w:qFormat/>
    <w:pPr>
      <w:spacing w:before="0" w:after="240"/>
      <w:ind w:hanging="4320" w:start="4320" w:end="0"/>
    </w:pPr>
    <w:rPr/>
  </w:style>
  <w:style w:type="paragraph" w:styleId="DPWWriterInfo">
    <w:name w:val="DPW Writer Info"/>
    <w:basedOn w:val="DPWNormal"/>
    <w:qFormat/>
    <w:pPr>
      <w:spacing w:before="1570" w:after="700"/>
      <w:jc w:val="center"/>
    </w:pPr>
    <w:rPr>
      <w:rFonts w:ascii="Arial" w:hAnsi="Arial" w:cs="Arial"/>
      <w:sz w:val="16"/>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DPWNormal"/>
    <w:pPr>
      <w:tabs>
        <w:tab w:val="clear" w:pos="720"/>
        <w:tab w:val="center" w:pos="4320" w:leader="none"/>
        <w:tab w:val="right" w:pos="7920" w:leader="none"/>
      </w:tabs>
    </w:pPr>
    <w:rPr/>
  </w:style>
  <w:style w:type="paragraph" w:styleId="FootnoteText">
    <w:name w:val="footnote text"/>
    <w:basedOn w:val="DPWNormal"/>
    <w:pPr>
      <w:spacing w:before="0" w:after="200"/>
      <w:ind w:firstLine="720" w:start="0" w:end="0"/>
    </w:pPr>
    <w:rPr>
      <w:sz w:val="20"/>
      <w:szCs w:val="20"/>
    </w:rPr>
  </w:style>
  <w:style w:type="paragraph" w:styleId="Header">
    <w:name w:val="header"/>
    <w:basedOn w:val="DPWNormal"/>
    <w:pPr>
      <w:tabs>
        <w:tab w:val="clear" w:pos="720"/>
        <w:tab w:val="left" w:pos="0" w:leader="none"/>
        <w:tab w:val="center" w:pos="3960" w:leader="none"/>
        <w:tab w:val="right" w:pos="7920" w:leader="none"/>
      </w:tabs>
      <w:spacing w:before="0" w:after="240"/>
    </w:pPr>
    <w:rPr/>
  </w:style>
  <w:style w:type="paragraph" w:styleId="DPWArticle">
    <w:name w:val="DPW Article"/>
    <w:basedOn w:val="DPWNormal"/>
    <w:next w:val="DPWPF"/>
    <w:qFormat/>
    <w:pPr>
      <w:keepNext w:val="true"/>
      <w:numPr>
        <w:ilvl w:val="0"/>
        <w:numId w:val="5"/>
      </w:numPr>
      <w:spacing w:before="360" w:after="240"/>
      <w:jc w:val="center"/>
      <w:outlineLvl w:val="0"/>
    </w:pPr>
    <w:rPr>
      <w:smallCaps/>
    </w:rPr>
  </w:style>
  <w:style w:type="paragraph" w:styleId="DPWArticleTOC">
    <w:name w:val="DPW Article TOC"/>
    <w:basedOn w:val="DPWNormal"/>
    <w:next w:val="DPWPF"/>
    <w:qFormat/>
    <w:pPr>
      <w:keepNext w:val="true"/>
      <w:numPr>
        <w:ilvl w:val="0"/>
        <w:numId w:val="2"/>
      </w:numPr>
      <w:spacing w:before="360" w:after="240"/>
      <w:jc w:val="center"/>
      <w:outlineLvl w:val="0"/>
    </w:pPr>
    <w:rPr>
      <w:smallCaps/>
      <w:kern w:val="2"/>
    </w:rPr>
  </w:style>
  <w:style w:type="paragraph" w:styleId="DPWP1Contd">
    <w:name w:val="DPW P1 Contd"/>
    <w:basedOn w:val="DPWNormal"/>
    <w:qFormat/>
    <w:pPr>
      <w:spacing w:before="0" w:after="240"/>
      <w:ind w:firstLine="720" w:start="0" w:end="0"/>
    </w:pPr>
    <w:rPr/>
  </w:style>
  <w:style w:type="paragraph" w:styleId="DPWP2Contd">
    <w:name w:val="DPW P2 Contd"/>
    <w:basedOn w:val="DPWNormal"/>
    <w:qFormat/>
    <w:pPr>
      <w:spacing w:before="0" w:after="240"/>
      <w:ind w:firstLine="720" w:start="540" w:end="0"/>
    </w:pPr>
    <w:rPr/>
  </w:style>
  <w:style w:type="paragraph" w:styleId="DPWP3Contd">
    <w:name w:val="DPW P3 Contd"/>
    <w:basedOn w:val="DPWNormal"/>
    <w:qFormat/>
    <w:pPr>
      <w:spacing w:before="0" w:after="240"/>
      <w:ind w:firstLine="540" w:start="1260" w:end="0"/>
    </w:pPr>
    <w:rPr/>
  </w:style>
  <w:style w:type="paragraph" w:styleId="DPWP4Contd">
    <w:name w:val="DPW P4 Contd"/>
    <w:basedOn w:val="DPWNormal"/>
    <w:qFormat/>
    <w:pPr>
      <w:spacing w:before="0" w:after="240"/>
      <w:ind w:firstLine="720" w:start="1800" w:end="0"/>
    </w:pPr>
    <w:rPr/>
  </w:style>
  <w:style w:type="paragraph" w:styleId="DPWP5Contd">
    <w:name w:val="DPW P5 Contd"/>
    <w:basedOn w:val="DPWNormal"/>
    <w:qFormat/>
    <w:pPr>
      <w:spacing w:before="0" w:after="240"/>
      <w:ind w:firstLine="720" w:start="2520" w:end="0"/>
    </w:pPr>
    <w:rPr/>
  </w:style>
  <w:style w:type="paragraph" w:styleId="DPWP6Contd">
    <w:name w:val="DPW P6 Contd"/>
    <w:basedOn w:val="DPWNormal"/>
    <w:qFormat/>
    <w:pPr>
      <w:spacing w:before="0" w:after="240"/>
      <w:ind w:firstLine="720" w:start="3240" w:end="0"/>
    </w:pPr>
    <w:rPr/>
  </w:style>
  <w:style w:type="paragraph" w:styleId="DPWSection">
    <w:name w:val="DPW Section"/>
    <w:basedOn w:val="DPWNormal"/>
    <w:next w:val="DPWPF"/>
    <w:qFormat/>
    <w:pPr>
      <w:numPr>
        <w:ilvl w:val="0"/>
        <w:numId w:val="7"/>
      </w:numPr>
      <w:spacing w:before="0" w:after="240"/>
      <w:outlineLvl w:val="1"/>
    </w:pPr>
    <w:rPr/>
  </w:style>
  <w:style w:type="paragraph" w:styleId="DPWSectionContd">
    <w:name w:val="DPW Section Contd"/>
    <w:basedOn w:val="DPWNormal"/>
    <w:next w:val="DPWNormal"/>
    <w:qFormat/>
    <w:pPr>
      <w:spacing w:before="0" w:after="240"/>
      <w:ind w:firstLine="720" w:start="0" w:end="0"/>
    </w:pPr>
    <w:rPr/>
  </w:style>
  <w:style w:type="paragraph" w:styleId="DPWSectionTOC">
    <w:name w:val="DPW Section TOC"/>
    <w:basedOn w:val="DPWNormal"/>
    <w:next w:val="DPWPF"/>
    <w:qFormat/>
    <w:pPr>
      <w:numPr>
        <w:ilvl w:val="0"/>
        <w:numId w:val="2"/>
      </w:numPr>
      <w:spacing w:before="0" w:after="240"/>
      <w:outlineLvl w:val="1"/>
    </w:pPr>
    <w:rPr/>
  </w:style>
  <w:style w:type="paragraph" w:styleId="DPWClosing">
    <w:name w:val="DPW Closing"/>
    <w:basedOn w:val="DPWNormal"/>
    <w:next w:val="DPWNormal"/>
    <w:qFormat/>
    <w:pPr/>
    <w:rPr/>
  </w:style>
  <w:style w:type="paragraph" w:styleId="DPWSalutation">
    <w:name w:val="DPW Salutation"/>
    <w:basedOn w:val="DPWNormal"/>
    <w:next w:val="DPWNormal"/>
    <w:qFormat/>
    <w:pPr/>
    <w:rPr/>
  </w:style>
  <w:style w:type="paragraph" w:styleId="DPWRe">
    <w:name w:val="DPW Re"/>
    <w:basedOn w:val="DPWNormal"/>
    <w:qFormat/>
    <w:pPr/>
    <w:rPr>
      <w:b/>
    </w:rPr>
  </w:style>
  <w:style w:type="paragraph" w:styleId="DPWP1">
    <w:name w:val="DPW P1"/>
    <w:basedOn w:val="DPWNormal"/>
    <w:next w:val="DPWPF"/>
    <w:qFormat/>
    <w:pPr>
      <w:numPr>
        <w:ilvl w:val="0"/>
        <w:numId w:val="2"/>
      </w:numPr>
      <w:spacing w:before="0" w:after="240"/>
      <w:outlineLvl w:val="2"/>
    </w:pPr>
    <w:rPr/>
  </w:style>
  <w:style w:type="paragraph" w:styleId="DPWP2">
    <w:name w:val="DPW P2"/>
    <w:basedOn w:val="DPWNormal"/>
    <w:next w:val="DPWPF"/>
    <w:qFormat/>
    <w:pPr>
      <w:numPr>
        <w:ilvl w:val="0"/>
        <w:numId w:val="2"/>
      </w:numPr>
      <w:spacing w:before="0" w:after="240"/>
      <w:outlineLvl w:val="3"/>
    </w:pPr>
    <w:rPr/>
  </w:style>
  <w:style w:type="paragraph" w:styleId="DPWP3">
    <w:name w:val="DPW P3"/>
    <w:basedOn w:val="DPWNormal"/>
    <w:next w:val="DPWPF"/>
    <w:qFormat/>
    <w:pPr>
      <w:numPr>
        <w:ilvl w:val="0"/>
        <w:numId w:val="2"/>
      </w:numPr>
      <w:spacing w:before="0" w:after="240"/>
      <w:outlineLvl w:val="4"/>
    </w:pPr>
    <w:rPr/>
  </w:style>
  <w:style w:type="paragraph" w:styleId="DPWP4">
    <w:name w:val="DPW P4"/>
    <w:basedOn w:val="DPWNormal"/>
    <w:next w:val="DPWPF"/>
    <w:qFormat/>
    <w:pPr>
      <w:numPr>
        <w:ilvl w:val="0"/>
        <w:numId w:val="2"/>
      </w:numPr>
      <w:spacing w:before="0" w:after="240"/>
      <w:outlineLvl w:val="5"/>
    </w:pPr>
    <w:rPr/>
  </w:style>
  <w:style w:type="paragraph" w:styleId="DPWP5">
    <w:name w:val="DPW P5"/>
    <w:basedOn w:val="DPWNormal"/>
    <w:next w:val="DPWPF"/>
    <w:qFormat/>
    <w:pPr>
      <w:tabs>
        <w:tab w:val="clear" w:pos="720"/>
        <w:tab w:val="right" w:pos="3720" w:leader="none"/>
        <w:tab w:val="left" w:pos="3960" w:leader="none"/>
      </w:tabs>
      <w:spacing w:before="0" w:after="240"/>
      <w:ind w:hanging="0" w:start="2880" w:end="0"/>
    </w:pPr>
    <w:rPr/>
  </w:style>
  <w:style w:type="paragraph" w:styleId="DPWP6">
    <w:name w:val="DPW P6"/>
    <w:basedOn w:val="DPWNormal"/>
    <w:next w:val="DPWPF"/>
    <w:qFormat/>
    <w:pPr>
      <w:tabs>
        <w:tab w:val="clear" w:pos="720"/>
        <w:tab w:val="right" w:pos="4680" w:leader="none"/>
        <w:tab w:val="left" w:pos="4920" w:leader="none"/>
      </w:tabs>
      <w:spacing w:before="0" w:after="240"/>
      <w:ind w:hanging="0" w:start="3600" w:end="0"/>
    </w:pPr>
    <w:rPr/>
  </w:style>
  <w:style w:type="paragraph" w:styleId="TOC2">
    <w:name w:val="toc 2"/>
    <w:basedOn w:val="DPWNormal"/>
    <w:next w:val="DPWNormal"/>
    <w:pPr>
      <w:ind w:hanging="720" w:start="720" w:end="0"/>
    </w:pPr>
    <w:rPr/>
  </w:style>
  <w:style w:type="paragraph" w:styleId="TOC1">
    <w:name w:val="toc 1"/>
    <w:basedOn w:val="Normal"/>
    <w:next w:val="DPWNormal"/>
    <w:pPr>
      <w:tabs>
        <w:tab w:val="clear" w:pos="720"/>
        <w:tab w:val="right" w:pos="7910" w:leader="dot"/>
      </w:tabs>
      <w:spacing w:before="240" w:after="240"/>
      <w:jc w:val="center"/>
    </w:pPr>
    <w:rPr>
      <w:smallCaps/>
    </w:rPr>
  </w:style>
  <w:style w:type="paragraph" w:styleId="TOC4">
    <w:name w:val="toc 4"/>
    <w:basedOn w:val="Normal"/>
    <w:next w:val="Normal"/>
    <w:pPr>
      <w:ind w:hanging="0" w:start="72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EndnoteText">
    <w:name w:val="endnote text"/>
    <w:basedOn w:val="Normal"/>
    <w:pPr/>
    <w:rPr>
      <w:sz w:val="20"/>
      <w:szCs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2001-04-25T16:49:00Z</dcterms:created>
  <dc:creator>psierra</dc:creator>
  <dc:description/>
  <dc:language>en-CA</dc:language>
  <cp:lastModifiedBy>psierra</cp:lastModifiedBy>
  <cp:lastPrinted>2001-04-25T15:29:00Z</cp:lastPrinted>
  <dcterms:modified xsi:type="dcterms:W3CDTF">2001-04-25T16:59:00Z</dcterms:modified>
  <cp:revision>3</cp:revision>
  <dc:subject/>
  <dc:title>Paragraph 13</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PWDraftDate">
    <vt:lpwstr>04/25/01 3:29 PM</vt:lpwstr>
  </property>
  <property fmtid="{D5CDD505-2E9C-101B-9397-08002B2CF9AE}" pid="3" name="DPWPathText">
    <vt:lpwstr>(NY) 10650/001/ISDA/section13.doc</vt:lpwstr>
  </property>
</Properties>
</file>