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i/>
          <w:u w:val="single"/>
        </w:rPr>
        <w:t>Contact Information</w:t>
      </w:r>
      <w:r>
        <w:rPr>
          <w:b/>
          <w:sz w:val="22"/>
          <w:u w:val="single"/>
        </w:rPr>
        <w:t xml:space="preserve"> :</w:t>
      </w:r>
      <w:r>
        <w:rPr>
          <w:sz w:val="22"/>
        </w:rPr>
        <w:t xml:space="preserve"> </w:t>
        <w:tab/>
      </w:r>
      <w:r>
        <w:rPr>
          <w:i/>
          <w:sz w:val="24"/>
        </w:rPr>
        <w:t>Craig Jefferies</w:t>
      </w:r>
    </w:p>
    <w:p>
      <w:pPr>
        <w:pStyle w:val="Heading7"/>
        <w:rPr>
          <w:sz w:val="24"/>
        </w:rPr>
      </w:pPr>
      <w:r>
        <w:rPr>
          <w:sz w:val="24"/>
        </w:rPr>
        <w:t xml:space="preserve">CKB Energy, Inc. </w:t>
      </w:r>
    </w:p>
    <w:p>
      <w:pPr>
        <w:pStyle w:val="Heading7"/>
        <w:rPr/>
      </w:pPr>
      <w:r>
        <w:rPr>
          <w:sz w:val="24"/>
        </w:rPr>
        <w:t>A Division of CKB, Incorporated</w:t>
      </w:r>
      <w:r>
        <w:rPr/>
        <w:t xml:space="preserve">  </w:t>
      </w:r>
    </w:p>
    <w:p>
      <w:pPr>
        <w:pStyle w:val="Normal"/>
        <w:ind w:firstLine="720" w:start="1440" w:end="0"/>
        <w:rPr>
          <w:i/>
          <w:i/>
          <w:sz w:val="22"/>
          <w:u w:val="single"/>
        </w:rPr>
      </w:pPr>
      <w:hyperlink r:id="rId2">
        <w:r>
          <w:rPr>
            <w:rStyle w:val="Hyperlink"/>
          </w:rPr>
          <w:t>CKBENERGY@AOL.COM</w:t>
        </w:r>
      </w:hyperlink>
    </w:p>
    <w:p>
      <w:pPr>
        <w:pStyle w:val="Normal"/>
        <w:ind w:firstLine="720" w:start="1440" w:end="0"/>
        <w:rPr>
          <w:i/>
          <w:i/>
          <w:sz w:val="22"/>
        </w:rPr>
      </w:pPr>
      <w:r>
        <w:rPr>
          <w:i/>
          <w:sz w:val="22"/>
        </w:rPr>
        <w:t xml:space="preserve">(917) 445 1189 </w:t>
      </w:r>
    </w:p>
    <w:p>
      <w:pPr>
        <w:pStyle w:val="Heading1"/>
        <w:ind w:hanging="0" w:start="0"/>
        <w:rPr>
          <w:sz w:val="32"/>
        </w:rPr>
      </w:pPr>
      <w:r>
        <w:rPr>
          <w:sz w:val="32"/>
        </w:rPr>
      </w:r>
    </w:p>
    <w:p>
      <w:pPr>
        <w:pStyle w:val="Heading1"/>
        <w:ind w:hanging="0" w:start="0"/>
        <w:rPr>
          <w:sz w:val="32"/>
        </w:rPr>
      </w:pPr>
      <w:r>
        <w:rPr>
          <w:sz w:val="32"/>
        </w:rPr>
        <w:t>K. Scott Schwartz</w:t>
      </w:r>
    </w:p>
    <w:p>
      <w:pPr>
        <w:pStyle w:val="Normal"/>
        <w:widowControl w:val="false"/>
        <w:autoSpaceDE w:val="false"/>
        <w:rPr>
          <w:rFonts w:ascii="Arial" w:hAnsi="Arial" w:cs="Arial"/>
        </w:rPr>
      </w:pPr>
      <w:r>
        <w:rPr>
          <w:rFonts w:cs="Arial" w:ascii="Arial" w:hAnsi="Arial"/>
        </w:rPr>
        <w:t>240 East 76th Street</w:t>
      </w:r>
    </w:p>
    <w:p>
      <w:pPr>
        <w:pStyle w:val="Normal"/>
        <w:widowControl w:val="false"/>
        <w:autoSpaceDE w:val="false"/>
        <w:rPr>
          <w:rFonts w:ascii="Arial" w:hAnsi="Arial" w:cs="Arial"/>
        </w:rPr>
      </w:pPr>
      <w:r>
        <w:rPr>
          <w:rFonts w:cs="Arial" w:ascii="Arial" w:hAnsi="Arial"/>
        </w:rPr>
        <w:t>Apartment 16V</w:t>
      </w:r>
    </w:p>
    <w:p>
      <w:pPr>
        <w:pStyle w:val="Normal"/>
        <w:widowControl w:val="false"/>
        <w:autoSpaceDE w:val="false"/>
        <w:rPr>
          <w:rFonts w:ascii="Arial" w:hAnsi="Arial" w:cs="Arial"/>
        </w:rPr>
      </w:pPr>
      <w:r>
        <w:rPr>
          <w:rFonts w:cs="Arial" w:ascii="Arial" w:hAnsi="Arial"/>
        </w:rPr>
        <w:t>New York, New York 10021</w:t>
      </w:r>
    </w:p>
    <w:p>
      <w:pPr>
        <w:pStyle w:val="Normal"/>
        <w:widowControl w:val="false"/>
        <w:autoSpaceDE w:val="false"/>
        <w:rPr>
          <w:rFonts w:ascii="Arial" w:hAnsi="Arial" w:cs="Arial"/>
        </w:rPr>
      </w:pPr>
      <w:r>
        <w:rPr>
          <w:rFonts w:cs="Arial" w:ascii="Arial" w:hAnsi="Arial"/>
        </w:rPr>
        <w:t>Phone 212-879-3958 cell: 410 – 530 - 7936</w:t>
      </w:r>
    </w:p>
    <w:p>
      <w:pPr>
        <w:pStyle w:val="Normal"/>
        <w:widowControl w:val="false"/>
        <w:autoSpaceDE w:val="false"/>
        <w:rPr>
          <w:rFonts w:ascii="Arial" w:hAnsi="Arial" w:cs="Arial"/>
        </w:rPr>
      </w:pPr>
      <w:r>
        <w:rPr>
          <w:rFonts w:cs="Arial" w:ascii="Arial" w:hAnsi="Arial"/>
        </w:rPr>
        <w:t>E-mail Scott911t@aol.com</w:t>
      </w:r>
    </w:p>
    <w:p>
      <w:pPr>
        <w:pStyle w:val="Normal"/>
        <w:widowControl w:val="false"/>
        <w:autoSpaceDE w:val="false"/>
        <w:rPr>
          <w:rFonts w:ascii="Arial" w:hAnsi="Arial" w:cs="Arial"/>
        </w:rPr>
      </w:pPr>
      <w:r>
        <w:rPr>
          <w:rFonts w:cs="Arial" w:ascii="Arial" w:hAnsi="Arial"/>
        </w:rPr>
      </w:r>
    </w:p>
    <w:p>
      <w:pPr>
        <w:pStyle w:val="Normal"/>
        <w:widowControl w:val="false"/>
        <w:autoSpaceDE w:val="false"/>
        <w:rPr/>
      </w:pPr>
      <w:r>
        <w:rPr>
          <w:rFonts w:cs="Arial Black" w:ascii="Arial Black" w:hAnsi="Arial Black"/>
          <w:u w:val="single"/>
        </w:rPr>
        <w:t>Objective</w:t>
      </w:r>
      <w:r>
        <w:rPr>
          <w:rFonts w:cs="Arial Black" w:ascii="Arial Black" w:hAnsi="Arial Black"/>
        </w:rPr>
        <w:tab/>
      </w:r>
      <w:r>
        <w:rPr>
          <w:rFonts w:cs="Arial" w:ascii="Arial" w:hAnsi="Arial"/>
        </w:rPr>
        <w:t xml:space="preserve">Employment in position that calls for the utilization of highly quantitative energy derivative trading and financial management skills.  </w:t>
        <w:tab/>
      </w:r>
    </w:p>
    <w:p>
      <w:pPr>
        <w:pStyle w:val="Normal"/>
        <w:widowControl w:val="false"/>
        <w:autoSpaceDE w:val="false"/>
        <w:rPr>
          <w:rFonts w:ascii="Arial" w:hAnsi="Arial" w:cs="Arial"/>
        </w:rPr>
      </w:pPr>
      <w:r>
        <w:rPr>
          <w:rFonts w:cs="Arial" w:ascii="Arial" w:hAnsi="Arial"/>
        </w:rPr>
      </w:r>
    </w:p>
    <w:p>
      <w:pPr>
        <w:pStyle w:val="Heading2"/>
        <w:ind w:hanging="0" w:start="0"/>
        <w:rPr/>
      </w:pPr>
      <w:r>
        <w:rPr/>
        <w:t>Professional experience</w:t>
      </w:r>
    </w:p>
    <w:p>
      <w:pPr>
        <w:pStyle w:val="Normal"/>
        <w:widowControl w:val="false"/>
        <w:autoSpaceDE w:val="false"/>
        <w:rPr>
          <w:rFonts w:ascii="Arial" w:hAnsi="Arial" w:cs="Arial"/>
        </w:rPr>
      </w:pPr>
      <w:r>
        <w:rPr>
          <w:rFonts w:cs="Arial" w:ascii="Arial" w:hAnsi="Arial"/>
        </w:rPr>
        <w:t>2000-Present             Constellation Power Source, Goldman Sachs Energy LLC.</w:t>
      </w:r>
    </w:p>
    <w:p>
      <w:pPr>
        <w:pStyle w:val="Normal"/>
        <w:widowControl w:val="false"/>
        <w:autoSpaceDE w:val="false"/>
        <w:rPr>
          <w:rFonts w:ascii="Arial" w:hAnsi="Arial" w:cs="Arial"/>
        </w:rPr>
      </w:pPr>
      <w:r>
        <w:rPr>
          <w:rFonts w:eastAsia="Arial" w:cs="Arial" w:ascii="Arial" w:hAnsi="Arial"/>
        </w:rPr>
        <w:t xml:space="preserve">                                                                                                                         </w:t>
      </w:r>
      <w:r>
        <w:rPr>
          <w:rFonts w:cs="Arial" w:ascii="Arial" w:hAnsi="Arial"/>
        </w:rPr>
        <w:t>Baltimore, MD</w:t>
      </w:r>
    </w:p>
    <w:p>
      <w:pPr>
        <w:pStyle w:val="Heading4"/>
        <w:ind w:hanging="0" w:start="0"/>
        <w:rPr>
          <w:rFonts w:ascii="Arial Black" w:hAnsi="Arial Black" w:cs="Arial Black"/>
          <w:b w:val="false"/>
        </w:rPr>
      </w:pPr>
      <w:r>
        <w:rPr>
          <w:rFonts w:cs="Arial Black" w:ascii="Arial Black" w:hAnsi="Arial Black"/>
          <w:b w:val="false"/>
        </w:rPr>
        <w:t>Vice President, Natural Gas Options Trading</w:t>
      </w:r>
    </w:p>
    <w:p>
      <w:pPr>
        <w:pStyle w:val="Normal"/>
        <w:rPr>
          <w:rFonts w:ascii="Arial Black" w:hAnsi="Arial Black" w:cs="Arial Black"/>
          <w:b/>
        </w:rPr>
      </w:pPr>
      <w:r>
        <w:rPr>
          <w:rFonts w:cs="Arial Black" w:ascii="Arial Black" w:hAnsi="Arial Black"/>
          <w:b/>
        </w:rPr>
      </w:r>
    </w:p>
    <w:p>
      <w:pPr>
        <w:pStyle w:val="Heading5"/>
        <w:ind w:hanging="0" w:start="0"/>
        <w:rPr/>
      </w:pPr>
      <w:r>
        <w:rPr/>
        <w:t>Currently up $12MM Year – to Date</w:t>
      </w:r>
    </w:p>
    <w:p>
      <w:pPr>
        <w:pStyle w:val="Normal"/>
        <w:rPr/>
      </w:pPr>
      <w:r>
        <w:rPr/>
      </w:r>
    </w:p>
    <w:p>
      <w:pPr>
        <w:pStyle w:val="Normal"/>
        <w:rPr>
          <w:rFonts w:ascii="Arial" w:hAnsi="Arial" w:cs="Arial"/>
        </w:rPr>
      </w:pPr>
      <w:r>
        <w:rPr>
          <w:rFonts w:cs="Arial" w:ascii="Arial" w:hAnsi="Arial"/>
        </w:rPr>
        <w:t>Hired to implement over the counter, exchange based, and electronic natural gas derivative options trading division.  Responsible for all aspects of start-up trading division, including:  risk management, initiating profitable trading strategies, dealing directly with the rapidly changing electronic market place, working directly with information technology and Quant. personnel in establishing firms derivative computer analysis of option position risks, and accounting procedures.  Utilizing contacts and knowledge of the OTC, exchange based trading, and electronic markets to establish a profitable option trading book for CPS, Goldman Sachs Energy LLC.</w:t>
      </w:r>
    </w:p>
    <w:p>
      <w:pPr>
        <w:pStyle w:val="Normal"/>
        <w:rPr>
          <w:rFonts w:ascii="Arial" w:hAnsi="Arial" w:cs="Arial"/>
        </w:rPr>
      </w:pPr>
      <w:r>
        <w:rPr>
          <w:rFonts w:cs="Arial" w:ascii="Arial" w:hAnsi="Arial"/>
        </w:rPr>
      </w:r>
    </w:p>
    <w:p>
      <w:pPr>
        <w:pStyle w:val="Normal"/>
        <w:widowControl w:val="false"/>
        <w:autoSpaceDE w:val="false"/>
        <w:rPr>
          <w:rFonts w:ascii="Arial" w:hAnsi="Arial" w:cs="Arial"/>
        </w:rPr>
      </w:pPr>
      <w:r>
        <w:rPr>
          <w:rFonts w:cs="Arial" w:ascii="Arial" w:hAnsi="Arial"/>
        </w:rPr>
        <w:t>1999-2000                  Schwartz/Smith/Spear, Leads, &amp; Kellog Trading LLC. New York, NY</w:t>
      </w:r>
    </w:p>
    <w:p>
      <w:pPr>
        <w:pStyle w:val="Normal"/>
        <w:widowControl w:val="false"/>
        <w:autoSpaceDE w:val="false"/>
        <w:rPr>
          <w:rFonts w:ascii="Arial Black" w:hAnsi="Arial Black" w:cs="Arial Black"/>
        </w:rPr>
      </w:pPr>
      <w:r>
        <w:rPr>
          <w:rFonts w:cs="Arial Black" w:ascii="Arial Black" w:hAnsi="Arial Black"/>
        </w:rPr>
        <w:t xml:space="preserve">Market Maker Natural Gas &amp; Crude Oil Options </w:t>
      </w:r>
    </w:p>
    <w:p>
      <w:pPr>
        <w:pStyle w:val="Normal"/>
        <w:widowControl w:val="false"/>
        <w:autoSpaceDE w:val="false"/>
        <w:rPr>
          <w:rFonts w:ascii="Arial" w:hAnsi="Arial" w:cs="Arial"/>
        </w:rPr>
      </w:pPr>
      <w:r>
        <w:rPr>
          <w:rFonts w:cs="Arial" w:ascii="Arial" w:hAnsi="Arial"/>
        </w:rPr>
        <w:t>Member of the New York Mercantile Exchange.  Full partner in trading venture involving Spear, Leads, &amp; Kellog Venture Capital.  Implemented trading strategy, quantitative and computer based trading systems, managed all corporate risks associated with trading highly volatile energy derivative options markets.</w:t>
      </w:r>
    </w:p>
    <w:p>
      <w:pPr>
        <w:pStyle w:val="Normal"/>
        <w:widowControl w:val="false"/>
        <w:autoSpaceDE w:val="false"/>
        <w:rPr>
          <w:rFonts w:ascii="Arial" w:hAnsi="Arial" w:eastAsia="Arial" w:cs="Arial"/>
        </w:rPr>
      </w:pPr>
      <w:r>
        <w:rPr>
          <w:rFonts w:eastAsia="Arial" w:cs="Arial" w:ascii="Arial" w:hAnsi="Arial"/>
        </w:rPr>
        <w:t xml:space="preserve">  </w:t>
      </w:r>
    </w:p>
    <w:p>
      <w:pPr>
        <w:pStyle w:val="Normal"/>
        <w:widowControl w:val="false"/>
        <w:autoSpaceDE w:val="false"/>
        <w:rPr>
          <w:rFonts w:ascii="Arial" w:hAnsi="Arial" w:cs="Arial"/>
        </w:rPr>
      </w:pPr>
      <w:r>
        <w:rPr>
          <w:rFonts w:cs="Arial" w:ascii="Arial" w:hAnsi="Arial"/>
        </w:rPr>
        <w:t>1998–1999                  Helios Trading Group LLC</w:t>
        <w:tab/>
        <w:t xml:space="preserve">                              New York, NY </w:t>
      </w:r>
    </w:p>
    <w:p>
      <w:pPr>
        <w:pStyle w:val="Normal"/>
        <w:widowControl w:val="false"/>
        <w:autoSpaceDE w:val="false"/>
        <w:rPr>
          <w:rFonts w:ascii="Arial Black" w:hAnsi="Arial Black" w:cs="Arial Black"/>
        </w:rPr>
      </w:pPr>
      <w:r>
        <w:rPr>
          <w:rFonts w:cs="Arial Black" w:ascii="Arial Black" w:hAnsi="Arial Black"/>
        </w:rPr>
        <w:t xml:space="preserve">Manager, Senior Energy Derivative Trader </w:t>
      </w:r>
    </w:p>
    <w:p>
      <w:pPr>
        <w:pStyle w:val="Normal"/>
        <w:widowControl w:val="false"/>
        <w:autoSpaceDE w:val="false"/>
        <w:rPr>
          <w:rFonts w:ascii="Arial" w:hAnsi="Arial" w:cs="Arial"/>
        </w:rPr>
      </w:pPr>
      <w:r>
        <w:rPr>
          <w:rFonts w:cs="Arial" w:ascii="Arial" w:hAnsi="Arial"/>
        </w:rPr>
        <w:t xml:space="preserve">Member of New York Mercantile &amp; Comex Exchanges. Managed highly profitable market making trading accounts in natural gas, crude oil, product, gold and silver derivative Commodity markets. Responsible for the training of assistant traders in option and trading theory. </w:t>
      </w:r>
    </w:p>
    <w:p>
      <w:pPr>
        <w:pStyle w:val="Normal"/>
        <w:widowControl w:val="false"/>
        <w:autoSpaceDE w:val="false"/>
        <w:rPr>
          <w:rFonts w:ascii="Arial" w:hAnsi="Arial" w:cs="Arial"/>
        </w:rPr>
      </w:pPr>
      <w:r>
        <w:rPr>
          <w:rFonts w:cs="Arial" w:ascii="Arial" w:hAnsi="Arial"/>
        </w:rPr>
      </w:r>
    </w:p>
    <w:p>
      <w:pPr>
        <w:pStyle w:val="Normal"/>
        <w:widowControl w:val="false"/>
        <w:autoSpaceDE w:val="false"/>
        <w:rPr>
          <w:rFonts w:ascii="Arial" w:hAnsi="Arial" w:cs="Arial"/>
        </w:rPr>
      </w:pPr>
      <w:r>
        <w:rPr>
          <w:rFonts w:cs="Arial" w:ascii="Arial" w:hAnsi="Arial"/>
        </w:rPr>
        <w:t xml:space="preserve">1993-1998                  New York Mercantile Exchange                                    New York, NY </w:t>
      </w:r>
    </w:p>
    <w:p>
      <w:pPr>
        <w:pStyle w:val="Normal"/>
        <w:widowControl w:val="false"/>
        <w:autoSpaceDE w:val="false"/>
        <w:rPr>
          <w:rFonts w:ascii="Arial Black" w:hAnsi="Arial Black" w:cs="Arial Black"/>
        </w:rPr>
      </w:pPr>
      <w:r>
        <w:rPr>
          <w:rFonts w:cs="Arial Black" w:ascii="Arial Black" w:hAnsi="Arial Black"/>
        </w:rPr>
        <w:t xml:space="preserve">Market Maker Natural Gas &amp; Crude Oil Options </w:t>
      </w:r>
    </w:p>
    <w:p>
      <w:pPr>
        <w:pStyle w:val="Normal"/>
        <w:widowControl w:val="false"/>
        <w:autoSpaceDE w:val="false"/>
        <w:rPr>
          <w:rFonts w:ascii="Arial" w:hAnsi="Arial" w:cs="Arial"/>
        </w:rPr>
      </w:pPr>
      <w:r>
        <w:rPr>
          <w:rFonts w:cs="Arial" w:ascii="Arial" w:hAnsi="Arial"/>
        </w:rPr>
        <w:t xml:space="preserve">Member of New York Mercantile Exchange. Traded natural gas, crude oil and product options and futures with a high level of financial success. Managed and profitably traded largest open interest in NYMEX Henry Hub natural gas options.  Directed all trading, accounting, and back office administration in proprietary trading account.   Implemented option theory training course for assistant traders and clerks. </w:t>
      </w:r>
    </w:p>
    <w:p>
      <w:pPr>
        <w:pStyle w:val="Normal"/>
        <w:widowControl w:val="false"/>
        <w:autoSpaceDE w:val="false"/>
        <w:rPr>
          <w:rFonts w:ascii="Arial" w:hAnsi="Arial" w:cs="Arial"/>
        </w:rPr>
      </w:pPr>
      <w:r>
        <w:rPr>
          <w:rFonts w:cs="Arial" w:ascii="Arial" w:hAnsi="Arial"/>
        </w:rPr>
      </w:r>
    </w:p>
    <w:p>
      <w:pPr>
        <w:pStyle w:val="Normal"/>
        <w:widowControl w:val="false"/>
        <w:autoSpaceDE w:val="false"/>
        <w:rPr>
          <w:rFonts w:ascii="Arial" w:hAnsi="Arial" w:cs="Arial"/>
        </w:rPr>
      </w:pPr>
      <w:r>
        <w:rPr>
          <w:rFonts w:cs="Arial" w:ascii="Arial" w:hAnsi="Arial"/>
        </w:rPr>
        <w:t xml:space="preserve">1992-1993                    Zahr Trading                                                                New York, NY </w:t>
      </w:r>
    </w:p>
    <w:p>
      <w:pPr>
        <w:pStyle w:val="Normal"/>
        <w:widowControl w:val="false"/>
        <w:autoSpaceDE w:val="false"/>
        <w:rPr>
          <w:rFonts w:ascii="Arial Black" w:hAnsi="Arial Black" w:cs="Arial Black"/>
        </w:rPr>
      </w:pPr>
      <w:r>
        <w:rPr>
          <w:rFonts w:cs="Arial Black" w:ascii="Arial Black" w:hAnsi="Arial Black"/>
        </w:rPr>
        <w:t xml:space="preserve">Trading Assistant </w:t>
      </w:r>
    </w:p>
    <w:p>
      <w:pPr>
        <w:pStyle w:val="Normal"/>
        <w:widowControl w:val="false"/>
        <w:autoSpaceDE w:val="false"/>
        <w:rPr>
          <w:rFonts w:ascii="Arial" w:hAnsi="Arial" w:cs="Arial"/>
        </w:rPr>
      </w:pPr>
      <w:r>
        <w:rPr>
          <w:rFonts w:cs="Arial" w:ascii="Arial" w:hAnsi="Arial"/>
        </w:rPr>
        <w:t xml:space="preserve">Studied the financial and mathematical disciplines of derivatives, floor trading and market making. Assisted traders in managing risk related to trading large commodity derivative positions. Responsible for the reconciliation and accounting of daily profit / loss statements. Managed commodity derivative accounts on New York Mercantile Exchange, Comex, Coffee Sugar &amp; Cocoa Exchange, and New York Futures Exchange. </w:t>
      </w:r>
    </w:p>
    <w:p>
      <w:pPr>
        <w:pStyle w:val="Normal"/>
        <w:widowControl w:val="false"/>
        <w:autoSpaceDE w:val="false"/>
        <w:rPr>
          <w:rFonts w:ascii="Arial" w:hAnsi="Arial" w:cs="Arial"/>
          <w:u w:val="single"/>
        </w:rPr>
      </w:pPr>
      <w:r>
        <w:rPr>
          <w:rFonts w:cs="Arial" w:ascii="Arial" w:hAnsi="Arial"/>
        </w:rPr>
        <w:tab/>
      </w:r>
    </w:p>
    <w:p>
      <w:pPr>
        <w:pStyle w:val="Normal"/>
        <w:widowControl w:val="false"/>
        <w:autoSpaceDE w:val="false"/>
        <w:rPr>
          <w:rFonts w:ascii="Arial Black" w:hAnsi="Arial Black" w:cs="Arial Black"/>
          <w:u w:val="single"/>
        </w:rPr>
      </w:pPr>
      <w:r>
        <w:rPr>
          <w:rFonts w:cs="Arial Black" w:ascii="Arial Black" w:hAnsi="Arial Black"/>
          <w:u w:val="single"/>
        </w:rPr>
      </w:r>
    </w:p>
    <w:p>
      <w:pPr>
        <w:pStyle w:val="Normal"/>
        <w:widowControl w:val="false"/>
        <w:autoSpaceDE w:val="false"/>
        <w:rPr>
          <w:rFonts w:ascii="Arial Black" w:hAnsi="Arial Black" w:cs="Arial Black"/>
        </w:rPr>
      </w:pPr>
      <w:r>
        <w:rPr>
          <w:rFonts w:cs="Arial Black" w:ascii="Arial Black" w:hAnsi="Arial Black"/>
          <w:u w:val="single"/>
        </w:rPr>
        <w:t>Professional memberships</w:t>
      </w:r>
    </w:p>
    <w:p>
      <w:pPr>
        <w:pStyle w:val="Normal"/>
        <w:widowControl w:val="false"/>
        <w:autoSpaceDE w:val="false"/>
        <w:rPr>
          <w:rFonts w:ascii="Arial" w:hAnsi="Arial" w:cs="Arial"/>
        </w:rPr>
      </w:pPr>
      <w:r>
        <w:rPr>
          <w:rFonts w:cs="Arial" w:ascii="Arial" w:hAnsi="Arial"/>
        </w:rPr>
        <w:t xml:space="preserve">Member of New York Mercantile Exchange floor committee. </w:t>
      </w:r>
    </w:p>
    <w:p>
      <w:pPr>
        <w:pStyle w:val="Normal"/>
        <w:widowControl w:val="false"/>
        <w:autoSpaceDE w:val="false"/>
        <w:rPr>
          <w:rFonts w:ascii="Arial" w:hAnsi="Arial" w:cs="Arial"/>
        </w:rPr>
      </w:pPr>
      <w:r>
        <w:rPr>
          <w:rFonts w:cs="Arial" w:ascii="Arial" w:hAnsi="Arial"/>
        </w:rPr>
        <w:t xml:space="preserve">Member of New York Mercantile Exchange settlement committee. </w:t>
      </w:r>
    </w:p>
    <w:p>
      <w:pPr>
        <w:pStyle w:val="Normal"/>
        <w:widowControl w:val="false"/>
        <w:autoSpaceDE w:val="false"/>
        <w:rPr>
          <w:rFonts w:ascii="Arial" w:hAnsi="Arial" w:cs="Arial"/>
        </w:rPr>
      </w:pPr>
      <w:r>
        <w:rPr>
          <w:rFonts w:cs="Arial" w:ascii="Arial" w:hAnsi="Arial"/>
        </w:rPr>
        <w:t xml:space="preserve">Member of New York Mercantile Exchange option advisory council. </w:t>
      </w:r>
    </w:p>
    <w:p>
      <w:pPr>
        <w:pStyle w:val="Normal"/>
        <w:widowControl w:val="false"/>
        <w:autoSpaceDE w:val="false"/>
        <w:rPr>
          <w:rFonts w:ascii="Arial" w:hAnsi="Arial" w:cs="Arial"/>
        </w:rPr>
      </w:pPr>
      <w:r>
        <w:rPr>
          <w:rFonts w:cs="Arial" w:ascii="Arial" w:hAnsi="Arial"/>
        </w:rPr>
        <w:t>Member of the National Futures Association (NFA).</w:t>
      </w:r>
    </w:p>
    <w:p>
      <w:pPr>
        <w:pStyle w:val="Normal"/>
        <w:widowControl w:val="false"/>
        <w:autoSpaceDE w:val="false"/>
        <w:rPr>
          <w:rFonts w:ascii="Arial" w:hAnsi="Arial" w:cs="Arial"/>
        </w:rPr>
      </w:pPr>
      <w:r>
        <w:rPr>
          <w:rFonts w:cs="Arial" w:ascii="Arial" w:hAnsi="Arial"/>
        </w:rPr>
        <w:t>Member of the National Association of Securities Dealers (NASD).</w:t>
      </w:r>
    </w:p>
    <w:p>
      <w:pPr>
        <w:pStyle w:val="Normal"/>
        <w:widowControl w:val="false"/>
        <w:autoSpaceDE w:val="false"/>
        <w:rPr>
          <w:rFonts w:ascii="Arial" w:hAnsi="Arial" w:cs="Arial"/>
        </w:rPr>
      </w:pPr>
      <w:r>
        <w:rPr>
          <w:rFonts w:cs="Arial" w:ascii="Arial" w:hAnsi="Arial"/>
        </w:rPr>
        <w:t>Current licenses include Series #7 and Series #3.</w:t>
      </w:r>
    </w:p>
    <w:p>
      <w:pPr>
        <w:pStyle w:val="Normal"/>
        <w:widowControl w:val="false"/>
        <w:autoSpaceDE w:val="false"/>
        <w:rPr>
          <w:rFonts w:ascii="Arial" w:hAnsi="Arial" w:cs="Arial"/>
        </w:rPr>
      </w:pPr>
      <w:r>
        <w:rPr>
          <w:rFonts w:cs="Arial" w:ascii="Arial" w:hAnsi="Arial"/>
        </w:rPr>
      </w:r>
    </w:p>
    <w:p>
      <w:pPr>
        <w:pStyle w:val="Normal"/>
        <w:widowControl w:val="false"/>
        <w:autoSpaceDE w:val="false"/>
        <w:rPr>
          <w:rFonts w:ascii="Arial" w:hAnsi="Arial" w:cs="Arial"/>
        </w:rPr>
      </w:pPr>
      <w:r>
        <w:rPr>
          <w:rFonts w:cs="Arial" w:ascii="Arial" w:hAnsi="Arial"/>
        </w:rPr>
        <w:tab/>
      </w:r>
    </w:p>
    <w:p>
      <w:pPr>
        <w:pStyle w:val="Normal"/>
        <w:widowControl w:val="false"/>
        <w:autoSpaceDE w:val="false"/>
        <w:rPr>
          <w:rFonts w:ascii="Arial Black" w:hAnsi="Arial Black" w:cs="Arial Black"/>
          <w:u w:val="single"/>
        </w:rPr>
      </w:pPr>
      <w:r>
        <w:rPr>
          <w:rFonts w:cs="Arial Black" w:ascii="Arial Black" w:hAnsi="Arial Black"/>
          <w:u w:val="single"/>
        </w:rPr>
        <w:t>Education</w:t>
        <w:tab/>
      </w:r>
    </w:p>
    <w:p>
      <w:pPr>
        <w:pStyle w:val="Normal"/>
        <w:widowControl w:val="false"/>
        <w:autoSpaceDE w:val="false"/>
        <w:rPr>
          <w:rFonts w:ascii="Arial" w:hAnsi="Arial" w:cs="Arial"/>
        </w:rPr>
      </w:pPr>
      <w:r>
        <w:rPr>
          <w:rFonts w:cs="Arial" w:ascii="Arial" w:hAnsi="Arial"/>
        </w:rPr>
        <w:t xml:space="preserve">1991-1992:  Columbia University, NY, NY Graduate study in biology. </w:t>
      </w:r>
    </w:p>
    <w:p>
      <w:pPr>
        <w:pStyle w:val="Normal"/>
        <w:widowControl w:val="false"/>
        <w:autoSpaceDE w:val="false"/>
        <w:rPr>
          <w:rFonts w:ascii="Arial" w:hAnsi="Arial" w:cs="Arial"/>
        </w:rPr>
      </w:pPr>
      <w:r>
        <w:rPr>
          <w:rFonts w:cs="Arial" w:ascii="Arial" w:hAnsi="Arial"/>
        </w:rPr>
        <w:t xml:space="preserve">1986-1991:  University of Southern California, Los Angeles, CA </w:t>
      </w:r>
    </w:p>
    <w:p>
      <w:pPr>
        <w:pStyle w:val="Normal"/>
        <w:widowControl w:val="false"/>
        <w:autoSpaceDE w:val="false"/>
        <w:ind w:firstLine="720" w:end="0"/>
        <w:rPr>
          <w:rFonts w:ascii="Arial" w:hAnsi="Arial" w:cs="Arial"/>
        </w:rPr>
      </w:pPr>
      <w:r>
        <w:rPr>
          <w:rFonts w:eastAsia="Arial" w:cs="Arial" w:ascii="Arial" w:hAnsi="Arial"/>
        </w:rPr>
        <w:t xml:space="preserve">       </w:t>
      </w:r>
      <w:r>
        <w:rPr>
          <w:rFonts w:cs="Arial" w:ascii="Arial" w:hAnsi="Arial"/>
        </w:rPr>
        <w:t xml:space="preserve">BA. History, BS. Biochemistry. </w:t>
      </w:r>
    </w:p>
    <w:p>
      <w:pPr>
        <w:pStyle w:val="Normal"/>
        <w:widowControl w:val="false"/>
        <w:autoSpaceDE w:val="false"/>
        <w:rPr>
          <w:rFonts w:ascii="Arial" w:hAnsi="Arial" w:cs="Arial"/>
        </w:rPr>
      </w:pPr>
      <w:r>
        <w:rPr>
          <w:rFonts w:cs="Arial Black" w:ascii="Arial Black" w:hAnsi="Arial Black"/>
        </w:rPr>
        <w:tab/>
      </w:r>
    </w:p>
    <w:p>
      <w:pPr>
        <w:pStyle w:val="Heading3"/>
        <w:rPr/>
      </w:pPr>
      <w:r>
        <w:rPr/>
        <w:t>Skills</w:t>
      </w:r>
    </w:p>
    <w:p>
      <w:pPr>
        <w:pStyle w:val="Normal"/>
        <w:widowControl w:val="false"/>
        <w:tabs>
          <w:tab w:val="clear" w:pos="720"/>
          <w:tab w:val="left" w:pos="0" w:leader="none"/>
        </w:tabs>
        <w:autoSpaceDE w:val="false"/>
        <w:ind w:hanging="2160" w:start="2160" w:end="0"/>
        <w:rPr>
          <w:rFonts w:ascii="Arial" w:hAnsi="Arial" w:cs="Arial"/>
        </w:rPr>
      </w:pPr>
      <w:r>
        <w:rPr>
          <w:rFonts w:cs="Arial" w:ascii="Arial" w:hAnsi="Arial"/>
        </w:rPr>
        <w:t>Computer programming, EXCEL, Visual Basic, derivative modeling, mathematics,</w:t>
      </w:r>
    </w:p>
    <w:p>
      <w:pPr>
        <w:pStyle w:val="Normal"/>
        <w:widowControl w:val="false"/>
        <w:tabs>
          <w:tab w:val="clear" w:pos="720"/>
          <w:tab w:val="left" w:pos="0" w:leader="none"/>
        </w:tabs>
        <w:autoSpaceDE w:val="false"/>
        <w:ind w:hanging="2160" w:start="2160" w:end="0"/>
        <w:rPr>
          <w:rFonts w:ascii="Arial" w:hAnsi="Arial" w:cs="Arial"/>
          <w:b/>
        </w:rPr>
      </w:pPr>
      <w:r>
        <w:rPr>
          <w:rFonts w:cs="Arial" w:ascii="Arial" w:hAnsi="Arial"/>
        </w:rPr>
        <w:t>trading arbitrage and probability.</w:t>
      </w:r>
    </w:p>
    <w:p>
      <w:pPr>
        <w:pStyle w:val="Normal"/>
        <w:rPr>
          <w:rFonts w:ascii="Arial" w:hAnsi="Arial" w:cs="Arial"/>
          <w:b/>
        </w:rPr>
      </w:pPr>
      <w:r>
        <w:rPr>
          <w:rFonts w:cs="Arial" w:ascii="Arial" w:hAnsi="Arial"/>
          <w:b/>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autoSpaceDE w:val="false"/>
      <w:outlineLvl w:val="0"/>
    </w:pPr>
    <w:rPr>
      <w:rFonts w:ascii="Arial Black" w:hAnsi="Arial Black" w:cs="Arial Black"/>
      <w:sz w:val="36"/>
    </w:rPr>
  </w:style>
  <w:style w:type="paragraph" w:styleId="Heading2">
    <w:name w:val="heading 2"/>
    <w:basedOn w:val="Normal"/>
    <w:next w:val="Normal"/>
    <w:qFormat/>
    <w:pPr>
      <w:keepNext w:val="true"/>
      <w:widowControl w:val="false"/>
      <w:numPr>
        <w:ilvl w:val="1"/>
        <w:numId w:val="1"/>
      </w:numPr>
      <w:autoSpaceDE w:val="false"/>
      <w:outlineLvl w:val="1"/>
    </w:pPr>
    <w:rPr>
      <w:rFonts w:ascii="Arial Black" w:hAnsi="Arial Black" w:cs="Arial Black"/>
      <w:sz w:val="24"/>
      <w:u w:val="single"/>
    </w:rPr>
  </w:style>
  <w:style w:type="paragraph" w:styleId="Heading3">
    <w:name w:val="heading 3"/>
    <w:basedOn w:val="Normal"/>
    <w:next w:val="Normal"/>
    <w:qFormat/>
    <w:pPr>
      <w:keepNext w:val="true"/>
      <w:widowControl w:val="false"/>
      <w:numPr>
        <w:ilvl w:val="2"/>
        <w:numId w:val="1"/>
      </w:numPr>
      <w:autoSpaceDE w:val="false"/>
      <w:ind w:hanging="2160" w:start="2160" w:end="0"/>
      <w:outlineLvl w:val="2"/>
    </w:pPr>
    <w:rPr>
      <w:rFonts w:ascii="Arial Black" w:hAnsi="Arial Black" w:cs="Arial Black"/>
      <w:sz w:val="24"/>
      <w:u w:val="single"/>
    </w:rPr>
  </w:style>
  <w:style w:type="paragraph" w:styleId="Heading4">
    <w:name w:val="heading 4"/>
    <w:basedOn w:val="Normal"/>
    <w:next w:val="Normal"/>
    <w:qFormat/>
    <w:pPr>
      <w:keepNext w:val="true"/>
      <w:widowControl w:val="false"/>
      <w:numPr>
        <w:ilvl w:val="3"/>
        <w:numId w:val="1"/>
      </w:numPr>
      <w:autoSpaceDE w:val="false"/>
      <w:outlineLvl w:val="3"/>
    </w:pPr>
    <w:rPr>
      <w:rFonts w:ascii="Arial" w:hAnsi="Arial" w:cs="Arial"/>
      <w:b/>
    </w:rPr>
  </w:style>
  <w:style w:type="paragraph" w:styleId="Heading5">
    <w:name w:val="heading 5"/>
    <w:basedOn w:val="Normal"/>
    <w:next w:val="Normal"/>
    <w:qFormat/>
    <w:pPr>
      <w:keepNext w:val="true"/>
      <w:numPr>
        <w:ilvl w:val="4"/>
        <w:numId w:val="1"/>
      </w:numPr>
      <w:outlineLvl w:val="4"/>
    </w:pPr>
    <w:rPr>
      <w:b/>
      <w:sz w:val="28"/>
      <w:u w:val="single"/>
    </w:rPr>
  </w:style>
  <w:style w:type="paragraph" w:styleId="Heading7">
    <w:name w:val="heading 7"/>
    <w:basedOn w:val="Normal"/>
    <w:next w:val="Normal"/>
    <w:qFormat/>
    <w:pPr>
      <w:keepNext w:val="true"/>
      <w:numPr>
        <w:ilvl w:val="6"/>
        <w:numId w:val="1"/>
      </w:numPr>
      <w:ind w:firstLine="720" w:start="1440" w:end="0"/>
      <w:outlineLvl w:val="6"/>
    </w:pPr>
    <w:rPr>
      <w:i/>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doc/CKBENERGY@AO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2001-08-22T15:25:00Z</dcterms:created>
  <dc:creator>SG</dc:creator>
  <dc:description/>
  <dc:language>en-CA</dc:language>
  <cp:lastModifiedBy>SG</cp:lastModifiedBy>
  <dcterms:modified xsi:type="dcterms:W3CDTF">2001-08-22T15:25:00Z</dcterms:modified>
  <cp:revision>2</cp:revision>
  <dc:subject/>
  <dc:title>Contact Information : </dc:title>
</cp:coreProperties>
</file>