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 xml:space="preserve">To: </w:t>
        <w:tab/>
        <w:t>Steve Kean, Rick Shapiro, Jim Steffes</w:t>
      </w:r>
    </w:p>
    <w:p>
      <w:pPr>
        <w:pStyle w:val="Normal"/>
        <w:rPr/>
      </w:pPr>
      <w:r>
        <w:rPr>
          <w:sz w:val="24"/>
        </w:rPr>
        <w:t>From:</w:t>
        <w:tab/>
        <w:t>Doug Schuler, Rice University (</w:t>
      </w:r>
      <w:hyperlink r:id="rId2">
        <w:r>
          <w:rPr>
            <w:rStyle w:val="Hyperlink"/>
            <w:sz w:val="24"/>
          </w:rPr>
          <w:t>schuler@rice.edu</w:t>
        </w:r>
      </w:hyperlink>
      <w:r>
        <w:rPr>
          <w:sz w:val="24"/>
        </w:rPr>
        <w:t>; 713/ 348-5472)</w:t>
      </w:r>
    </w:p>
    <w:p>
      <w:pPr>
        <w:pStyle w:val="Normal"/>
        <w:rPr>
          <w:sz w:val="24"/>
        </w:rPr>
      </w:pPr>
      <w:r>
        <w:rPr>
          <w:sz w:val="24"/>
        </w:rPr>
        <w:t>Re:</w:t>
        <w:tab/>
      </w:r>
      <w:r>
        <w:rPr>
          <w:b/>
          <w:bCs/>
          <w:sz w:val="24"/>
        </w:rPr>
        <w:t>Government Affairs Assessment Process: A Brief Analysis</w:t>
      </w:r>
    </w:p>
    <w:p>
      <w:pPr>
        <w:pStyle w:val="Normal"/>
        <w:rPr>
          <w:sz w:val="24"/>
        </w:rPr>
      </w:pPr>
      <w:r>
        <w:rPr>
          <w:sz w:val="24"/>
        </w:rPr>
        <w:t>Date:</w:t>
        <w:tab/>
        <w:t>August, 2001</w:t>
      </w:r>
    </w:p>
    <w:p>
      <w:pPr>
        <w:pStyle w:val="Normal"/>
        <w:rPr>
          <w:sz w:val="24"/>
        </w:rPr>
      </w:pPr>
      <w:r>
        <w:rPr>
          <w:sz w:val="24"/>
        </w:rPr>
      </w:r>
    </w:p>
    <w:p>
      <w:pPr>
        <w:pStyle w:val="Normal"/>
        <w:rPr>
          <w:sz w:val="24"/>
        </w:rPr>
      </w:pPr>
      <w:r>
        <w:rPr>
          <w:sz w:val="24"/>
        </w:rPr>
      </w:r>
    </w:p>
    <w:p>
      <w:pPr>
        <w:pStyle w:val="Normal"/>
        <w:rPr>
          <w:sz w:val="24"/>
        </w:rPr>
      </w:pPr>
      <w:r>
        <w:rPr>
          <w:sz w:val="24"/>
        </w:rPr>
        <w:t>This brief analysis is based upon my assignment with Amr Ibrahim and Elizabeth Linnell to review the “Accomplishments for the Period November 2000 to April 2001” reports filed by the GA professional staff. It is also based upon some of the academic literature on “valuation” of business activities where we are interested not only on the costs side (in a traditional cost center approach) but also the benefits (moving towards a profit center approach). The importance of considering benefits is that it allows the senior GA managers to assign professional staff to areas reflecting their highest benefit (considering the opportunity costs of that assignment). Additionally, it should allow senior GA managers to articulate more clearly GA needs (e.g., budget requests, personnel) to internal constituents at Enron.</w:t>
      </w:r>
    </w:p>
    <w:p>
      <w:pPr>
        <w:pStyle w:val="Normal"/>
        <w:rPr>
          <w:sz w:val="24"/>
        </w:rPr>
      </w:pPr>
      <w:r>
        <w:rPr>
          <w:sz w:val="24"/>
        </w:rPr>
      </w:r>
    </w:p>
    <w:p>
      <w:pPr>
        <w:pStyle w:val="Heading2"/>
        <w:ind w:hanging="0" w:start="0"/>
        <w:rPr/>
      </w:pPr>
      <w:r>
        <w:rPr/>
        <w:t>What I saw</w:t>
      </w:r>
    </w:p>
    <w:p>
      <w:pPr>
        <w:pStyle w:val="Normal"/>
        <w:rPr>
          <w:sz w:val="24"/>
        </w:rPr>
      </w:pPr>
      <w:r>
        <w:rPr>
          <w:sz w:val="24"/>
        </w:rPr>
        <w:t xml:space="preserve">Data were collected from about 60 GA professionals in the Accomplishment Report for the period November 2001 to April 2001. Each individual was asked to list his or her accomplishments, the unit it served, the area (e.g., deal support, origination, etc.), its value, and the methodology used. </w:t>
      </w:r>
    </w:p>
    <w:p>
      <w:pPr>
        <w:pStyle w:val="Normal"/>
        <w:rPr>
          <w:sz w:val="24"/>
        </w:rPr>
      </w:pPr>
      <w:r>
        <w:rPr>
          <w:sz w:val="24"/>
        </w:rPr>
      </w:r>
    </w:p>
    <w:p>
      <w:pPr>
        <w:pStyle w:val="Normal"/>
        <w:rPr>
          <w:sz w:val="24"/>
        </w:rPr>
      </w:pPr>
      <w:r>
        <w:rPr>
          <w:sz w:val="24"/>
        </w:rPr>
        <w:t>Regarding the accomplishments done during the period, about 25% involved activities aimed at other Enron units, such as improving communications between GA/PA and ENA and EES in the New York market, developing a GA website with EBS, and working with EIM to design a risk management program for a client. About 75% of activities were externally oriented (although in support of internal Enron customers) primarily towards regulatory and legislative bodies at various levels of government.</w:t>
      </w:r>
    </w:p>
    <w:p>
      <w:pPr>
        <w:pStyle w:val="Normal"/>
        <w:rPr>
          <w:sz w:val="24"/>
        </w:rPr>
      </w:pPr>
      <w:r>
        <w:rPr>
          <w:sz w:val="24"/>
        </w:rPr>
      </w:r>
    </w:p>
    <w:p>
      <w:pPr>
        <w:pStyle w:val="Normal"/>
        <w:rPr>
          <w:sz w:val="24"/>
        </w:rPr>
      </w:pPr>
      <w:r>
        <w:rPr>
          <w:sz w:val="24"/>
        </w:rPr>
        <w:t>Very few individuals provided data for value and methodology. Probably less than 20% of the activities were valued and the methods used varied widely. For these relatively few entries, GA professionals claimed a contribution of $6.43 billion, a figure that appears to be highly overstated.</w:t>
      </w:r>
    </w:p>
    <w:p>
      <w:pPr>
        <w:pStyle w:val="Normal"/>
        <w:rPr>
          <w:sz w:val="24"/>
        </w:rPr>
      </w:pPr>
      <w:r>
        <w:rPr>
          <w:sz w:val="24"/>
        </w:rPr>
      </w:r>
    </w:p>
    <w:p>
      <w:pPr>
        <w:pStyle w:val="Normal"/>
        <w:rPr>
          <w:sz w:val="24"/>
        </w:rPr>
      </w:pPr>
      <w:r>
        <w:rPr>
          <w:sz w:val="24"/>
        </w:rPr>
        <w:t xml:space="preserve">My analysis would be despite the considerable efforts that went into compiling and completing these reports, that senior GA management has not gained significant insights as to the value of these activities or as to an accurate methodology to calculate such values. </w:t>
      </w:r>
    </w:p>
    <w:p>
      <w:pPr>
        <w:pStyle w:val="Normal"/>
        <w:rPr>
          <w:sz w:val="24"/>
        </w:rPr>
      </w:pPr>
      <w:r>
        <w:rPr>
          <w:sz w:val="24"/>
        </w:rPr>
      </w:r>
    </w:p>
    <w:p>
      <w:pPr>
        <w:pStyle w:val="Normal"/>
        <w:rPr>
          <w:sz w:val="24"/>
        </w:rPr>
      </w:pPr>
      <w:r>
        <w:rPr>
          <w:sz w:val="24"/>
        </w:rPr>
      </w:r>
    </w:p>
    <w:p>
      <w:pPr>
        <w:pStyle w:val="Heading2"/>
        <w:ind w:hanging="0" w:start="0"/>
        <w:rPr/>
      </w:pPr>
      <w:r>
        <w:rPr/>
        <w:t>What is needed</w:t>
      </w:r>
    </w:p>
    <w:p>
      <w:pPr>
        <w:pStyle w:val="Normal"/>
        <w:rPr>
          <w:sz w:val="24"/>
        </w:rPr>
      </w:pPr>
      <w:r>
        <w:rPr>
          <w:sz w:val="24"/>
        </w:rPr>
        <w:t>If our goal is the identity and measurement of GA activities, it is crucial that these be tied to the broad strategies of Enron. Otherwise, we run the risk of creating a system that desires “A” but rewards “B.”</w:t>
      </w:r>
    </w:p>
    <w:p>
      <w:pPr>
        <w:pStyle w:val="Normal"/>
        <w:rPr>
          <w:sz w:val="24"/>
        </w:rPr>
      </w:pPr>
      <w:r>
        <w:rPr>
          <w:sz w:val="24"/>
        </w:rPr>
      </w:r>
    </w:p>
    <w:p>
      <w:pPr>
        <w:pStyle w:val="Normal"/>
        <w:rPr>
          <w:sz w:val="24"/>
        </w:rPr>
      </w:pPr>
      <w:r>
        <w:rPr>
          <w:sz w:val="24"/>
        </w:rPr>
        <w:t>Thus, the first step needs to be the identification of the most important broad strategies of GA. The “Government Affairs/PR Communications” report appears to be a first step: it identified such strategies as (1) business unit support; (2) create open markets and other business opportunities; and (3) regulatory and governmental risk identification and mitigation.</w:t>
      </w:r>
    </w:p>
    <w:p>
      <w:pPr>
        <w:pStyle w:val="Normal"/>
        <w:rPr>
          <w:sz w:val="24"/>
        </w:rPr>
      </w:pPr>
      <w:r>
        <w:rPr>
          <w:sz w:val="24"/>
        </w:rPr>
      </w:r>
    </w:p>
    <w:p>
      <w:pPr>
        <w:pStyle w:val="Normal"/>
        <w:rPr>
          <w:sz w:val="24"/>
        </w:rPr>
      </w:pPr>
      <w:r>
        <w:rPr>
          <w:sz w:val="24"/>
        </w:rPr>
        <w:t>For each of these strategies, some primary objectives need to be articulated. For example, for business unit support, some objectives might be: (1) information provision: timeliness and accuracy; (2) transaction support; (3) new market development; and (4) asset protection [note: these are just my “off the cuff” objectives].</w:t>
      </w:r>
    </w:p>
    <w:p>
      <w:pPr>
        <w:pStyle w:val="Normal"/>
        <w:rPr>
          <w:sz w:val="24"/>
        </w:rPr>
      </w:pPr>
      <w:r>
        <w:rPr>
          <w:sz w:val="24"/>
        </w:rPr>
      </w:r>
    </w:p>
    <w:p>
      <w:pPr>
        <w:pStyle w:val="Normal"/>
        <w:rPr>
          <w:sz w:val="24"/>
        </w:rPr>
      </w:pPr>
      <w:r>
        <w:rPr>
          <w:sz w:val="24"/>
        </w:rPr>
        <w:t>Then, we need to look a ways to assess the attainment of each of these objectives. For example, with information provision, we might go to our users in other units of Enron to see how they would rate (perhaps on a 1-5 scale) such things as timeliness, accuracy, criticality for their transaction, etc. We might also count the number of projects, meetings, memos, etc. that GA produced with information for other units. We would do likewise for the other objectives.</w:t>
      </w:r>
    </w:p>
    <w:p>
      <w:pPr>
        <w:pStyle w:val="Normal"/>
        <w:rPr>
          <w:sz w:val="24"/>
        </w:rPr>
      </w:pPr>
      <w:r>
        <w:rPr>
          <w:sz w:val="24"/>
        </w:rPr>
      </w:r>
    </w:p>
    <w:p>
      <w:pPr>
        <w:pStyle w:val="Normal"/>
        <w:rPr>
          <w:sz w:val="24"/>
        </w:rPr>
      </w:pPr>
      <w:r>
        <w:rPr>
          <w:sz w:val="24"/>
        </w:rPr>
        <w:t>Note that the “Balanced Scorecard Approach” (BSA) may be used to make such linkages and measures. The BSA is a strategy implementation tool where activities are measured and compared to the goals of the firm. BSA gives guidelines on the types of measures that are appropriate: it considers such things as leading and lagging indicators (training would be a leading indicator as it occurs before the activity; profits on a trade would be a lagging indicator as it is the result of various activities), and financial and non-financial measures. The goal—like ours—is to try to take into account enough measures of the activity to make a satisfactory judgment of its merits. I believe if you could create such a system, you would have a much better idea of how to deploy your employees across projects, how much to charge other units for GA services, and when to outsource GA activities.</w:t>
      </w:r>
    </w:p>
    <w:p>
      <w:pPr>
        <w:pStyle w:val="Normal"/>
        <w:rPr>
          <w:sz w:val="24"/>
        </w:rPr>
      </w:pPr>
      <w:r>
        <w:rPr>
          <w:sz w:val="24"/>
        </w:rPr>
      </w:r>
    </w:p>
    <w:p>
      <w:pPr>
        <w:pStyle w:val="Normal"/>
        <w:rPr>
          <w:sz w:val="24"/>
        </w:rPr>
      </w:pPr>
      <w:r>
        <w:rPr>
          <w:sz w:val="24"/>
        </w:rPr>
        <w:t xml:space="preserve">In order to do what I have suggested, I think that you will have to devote more resources. One possibility is to assemble a small team with members from GA and one or two operating units (e.g., a director from EES who has some GA interaction) to create this systematic approach to GA evaluations. You also might consider adding an outsider to this process. </w:t>
      </w:r>
    </w:p>
    <w:p>
      <w:pPr>
        <w:pStyle w:val="Normal"/>
        <w:rPr>
          <w:sz w:val="24"/>
        </w:rPr>
      </w:pPr>
      <w:r>
        <w:rPr>
          <w:sz w:val="24"/>
        </w:rPr>
      </w:r>
    </w:p>
    <w:p>
      <w:pPr>
        <w:pStyle w:val="Normal"/>
        <w:rPr>
          <w:sz w:val="24"/>
        </w:rPr>
      </w:pPr>
      <w:r>
        <w:rPr>
          <w:sz w:val="24"/>
        </w:rPr>
        <w:t>Finally, I am amenable to discussing a role for me in the process. I plan to continue to work on this valuation framework in an academic way (e.g., for scholarly journals) with Marc Epstein, one of my colleagues in accounting, who has done much with the balanced scorecard approach. Once we have developed a clearer framework, we would like to create a practitioner version that might be useful for your GA analysis.</w:t>
      </w:r>
    </w:p>
    <w:p>
      <w:pPr>
        <w:pStyle w:val="Normal"/>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2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outlineLvl w:val="1"/>
    </w:pPr>
    <w:rPr>
      <w:sz w:val="24"/>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chuler@rice.ed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2001-08-02T18:38:00Z</dcterms:created>
  <dc:creator>Jones Graduate School</dc:creator>
  <dc:description/>
  <dc:language>en-CA</dc:language>
  <cp:lastModifiedBy>Jones Graduate School</cp:lastModifiedBy>
  <dcterms:modified xsi:type="dcterms:W3CDTF">2001-08-02T18:39:00Z</dcterms:modified>
  <cp:revision>1</cp:revision>
  <dc:subject/>
  <dc:title>To: </dc:title>
</cp:coreProperties>
</file>