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Schroeder</w:t>
            </w:r>
          </w:p>
        </w:tc>
        <w:tc>
          <w:tcPr>
            <w:tcW w:w="990" w:type="dxa"/>
            <w:tcBorders/>
          </w:tcPr>
          <w:p>
            <w:pPr>
              <w:pStyle w:val="Normal"/>
              <w:snapToGrid w:val="false"/>
              <w:ind w:start="-180" w:end="0"/>
              <w:rPr/>
            </w:pPr>
            <w:r>
              <w:rPr/>
            </w:r>
          </w:p>
        </w:tc>
        <w:tc>
          <w:tcPr>
            <w:tcW w:w="265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300" w:hRule="exact"/>
        </w:trPr>
        <w:tc>
          <w:tcPr>
            <w:tcW w:w="708" w:type="dxa"/>
            <w:tcBorders/>
          </w:tcPr>
          <w:p>
            <w:pPr>
              <w:pStyle w:val="Normal"/>
              <w:jc w:val="end"/>
              <w:rPr>
                <w:sz w:val="16"/>
              </w:rPr>
            </w:pPr>
            <w:r>
              <w:rPr>
                <w:sz w:val="16"/>
              </w:rPr>
              <w:t>From:</w:t>
            </w:r>
          </w:p>
        </w:tc>
        <w:tc>
          <w:tcPr>
            <w:tcW w:w="6045" w:type="dxa"/>
            <w:tcBorders/>
          </w:tcPr>
          <w:p>
            <w:pPr>
              <w:pStyle w:val="From"/>
              <w:rPr/>
            </w:pPr>
            <w:r>
              <w:rPr/>
              <w:t>Mark Frevert</w:t>
            </w:r>
          </w:p>
        </w:tc>
        <w:tc>
          <w:tcPr>
            <w:tcW w:w="990" w:type="dxa"/>
            <w:tcBorders/>
          </w:tcPr>
          <w:p>
            <w:pPr>
              <w:pStyle w:val="Normal"/>
              <w:ind w:start="-180" w:end="0"/>
              <w:jc w:val="end"/>
              <w:rPr>
                <w:sz w:val="16"/>
              </w:rPr>
            </w:pPr>
            <w:r>
              <w:rPr>
                <w:sz w:val="16"/>
              </w:rPr>
              <w:t>Department:</w:t>
            </w:r>
          </w:p>
        </w:tc>
        <w:tc>
          <w:tcPr>
            <w:tcW w:w="2655" w:type="dxa"/>
            <w:tcBorders/>
          </w:tcPr>
          <w:p>
            <w:pPr>
              <w:pStyle w:val="Department"/>
              <w:rPr/>
            </w:pPr>
            <w:bookmarkStart w:id="0" w:name="From"/>
            <w:bookmarkEnd w:id="0"/>
            <w:r>
              <w:rPr/>
              <w:t>ECT-Europe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 xml:space="preserve">EDRIP Award </w:t>
            </w:r>
          </w:p>
        </w:tc>
        <w:tc>
          <w:tcPr>
            <w:tcW w:w="990" w:type="dxa"/>
            <w:tcBorders>
              <w:bottom w:val="single" w:sz="12" w:space="0" w:color="000000"/>
            </w:tcBorders>
          </w:tcPr>
          <w:p>
            <w:pPr>
              <w:pStyle w:val="Normal"/>
              <w:ind w:start="-180" w:end="0"/>
              <w:jc w:val="end"/>
              <w:rPr>
                <w:sz w:val="16"/>
              </w:rPr>
            </w:pPr>
            <w:r>
              <w:rPr>
                <w:sz w:val="16"/>
              </w:rPr>
              <w:t>Date:</w:t>
            </w:r>
          </w:p>
        </w:tc>
        <w:tc>
          <w:tcPr>
            <w:tcW w:w="265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This memorandum supercedes all other EDRIP Award memorandums</w:t>
      </w:r>
    </w:p>
    <w:p>
      <w:pPr>
        <w:pStyle w:val="Body"/>
        <w:ind w:start="0" w:end="0"/>
        <w:rPr/>
      </w:pPr>
      <w:r>
        <w:rPr/>
      </w:r>
    </w:p>
    <w:p>
      <w:pPr>
        <w:pStyle w:val="Body"/>
        <w:rPr/>
      </w:pPr>
      <w:r>
        <w:rPr/>
        <w:t>Dear Mark</w:t>
      </w:r>
    </w:p>
    <w:p>
      <w:pPr>
        <w:pStyle w:val="Body"/>
        <w:rPr/>
      </w:pPr>
      <w:r>
        <w:rPr/>
      </w:r>
    </w:p>
    <w:p>
      <w:pPr>
        <w:pStyle w:val="Body"/>
        <w:rPr/>
      </w:pPr>
      <w:r>
        <w:rPr/>
        <w:t>In recognition of the Company’s gratitude for your contribution to the business thus far on your assignment, I am pleased to inform you that you have been awarded one discretionary EDRIP payment in the amount of $200,000.</w:t>
      </w:r>
    </w:p>
    <w:p>
      <w:pPr>
        <w:pStyle w:val="Body"/>
        <w:rPr/>
      </w:pPr>
      <w:r>
        <w:rPr/>
      </w:r>
    </w:p>
    <w:p>
      <w:pPr>
        <w:pStyle w:val="Body"/>
        <w:rPr/>
      </w:pPr>
      <w:r>
        <w:rPr/>
        <w:t xml:space="preserve">Subject to the Company’s discretion, the award will be deposited into an escrow account with the Investors Bank &amp; Trust Company within 30 days after 1 April 2000.  </w:t>
      </w:r>
    </w:p>
    <w:p>
      <w:pPr>
        <w:pStyle w:val="Body"/>
        <w:ind w:start="0" w:end="0"/>
        <w:rPr/>
      </w:pPr>
      <w:r>
        <w:rPr/>
      </w:r>
    </w:p>
    <w:p>
      <w:pPr>
        <w:pStyle w:val="Body"/>
        <w:rPr/>
      </w:pPr>
      <w:r>
        <w:rPr/>
        <w:t>I have also attached the plan documentation that gives an overview of the EDRIP plan and an explanation of how it  works.  As you will see, this payment is subject to only a 15% hypothetical tax.  Disbursement of this award will take effect approximately 6 months after you repatriate to the US and is subject to you remaining an employee of Enron until that time.</w:t>
      </w:r>
    </w:p>
    <w:p>
      <w:pPr>
        <w:pStyle w:val="Body"/>
        <w:rPr/>
      </w:pPr>
      <w:r>
        <w:rPr/>
      </w:r>
    </w:p>
    <w:p>
      <w:pPr>
        <w:pStyle w:val="Body"/>
        <w:rPr/>
      </w:pPr>
      <w:r>
        <w:rPr/>
        <w:t>Should you have any questions regarding this award, please do not hesitate to contact Tara Rozen in Human Resources.</w:t>
      </w:r>
    </w:p>
    <w:p>
      <w:pPr>
        <w:pStyle w:val="Body"/>
        <w:rPr/>
      </w:pPr>
      <w:r>
        <w:rPr/>
      </w:r>
    </w:p>
    <w:p>
      <w:pPr>
        <w:pStyle w:val="Body"/>
        <w:rPr>
          <w:rFonts w:eastAsia="Arial"/>
        </w:rPr>
      </w:pPr>
      <w:r>
        <w:rPr>
          <w:rFonts w:eastAsia="Arial"/>
        </w:rPr>
        <w:t xml:space="preserve"> </w:t>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2000-03-13T07:27:00Z</dcterms:created>
  <dc:creator>Unknown</dc:creator>
  <dc:description/>
  <dc:language>en-CA</dc:language>
  <cp:lastModifiedBy>TRozen</cp:lastModifiedBy>
  <cp:lastPrinted>2000-03-22T08:41:00Z</cp:lastPrinted>
  <dcterms:modified xsi:type="dcterms:W3CDTF">2000-04-14T15:25:00Z</dcterms:modified>
  <cp:revision>5</cp:revision>
  <dc:subject/>
  <dc:title> </dc:title>
</cp:coreProperties>
</file>