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GENERAL DESCRIPTION OF SCE</w:t>
      </w:r>
    </w:p>
    <w:p>
      <w:pPr>
        <w:pStyle w:val="Normal"/>
        <w:jc w:val="center"/>
        <w:rPr>
          <w:b/>
        </w:rPr>
      </w:pPr>
      <w:r>
        <w:rPr>
          <w:b/>
        </w:rPr>
        <w:t>PRELIMINARY INJUNCTION MOTION</w:t>
      </w:r>
    </w:p>
    <w:p>
      <w:pPr>
        <w:pStyle w:val="Normal"/>
        <w:rPr>
          <w:b/>
        </w:rPr>
      </w:pPr>
      <w:r>
        <w:rPr>
          <w:b/>
        </w:rPr>
      </w:r>
    </w:p>
    <w:p>
      <w:pPr>
        <w:pStyle w:val="Normal"/>
        <w:rPr/>
      </w:pPr>
      <w:r>
        <w:rPr>
          <w:b/>
        </w:rPr>
        <w:tab/>
      </w:r>
      <w:r>
        <w:rPr/>
        <w:t>The following is a summary of the relief being requested by SCE in its motion seeking a preliminary injunction against the CPUC in the Federal District Court in Los Angeles.  The hearing is to commence on Monday at 9:00 a.m.  PG&amp;E has filed suit seeking similar relief, although its claims are not set to be heard on Monday.  Given the politically charged environment in which the SCE motion is being heard, the outcome, whether at the District Court, or on appeal, likely will not turn solely on legal issues.</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3438"/>
        <w:gridCol w:w="5418"/>
      </w:tblGrid>
      <w:tr>
        <w:trPr/>
        <w:tc>
          <w:tcPr>
            <w:tcW w:w="3438" w:type="dxa"/>
            <w:tcBorders/>
          </w:tcPr>
          <w:p>
            <w:pPr>
              <w:pStyle w:val="Normal"/>
              <w:rPr>
                <w:b/>
              </w:rPr>
            </w:pPr>
            <w:r>
              <w:rPr>
                <w:b/>
              </w:rPr>
              <w:t>Relief Requested</w:t>
            </w:r>
          </w:p>
        </w:tc>
        <w:tc>
          <w:tcPr>
            <w:tcW w:w="5418" w:type="dxa"/>
            <w:tcBorders/>
          </w:tcPr>
          <w:p>
            <w:pPr>
              <w:pStyle w:val="Normal"/>
              <w:rPr/>
            </w:pPr>
            <w:r>
              <w:rPr/>
              <w:t>Mandatory Injunction against CPUC seeking a Court Order to require CPUC to:</w:t>
            </w:r>
          </w:p>
          <w:p>
            <w:pPr>
              <w:pStyle w:val="Normal"/>
              <w:rPr/>
            </w:pPr>
            <w:r>
              <w:rPr/>
            </w:r>
          </w:p>
          <w:p>
            <w:pPr>
              <w:pStyle w:val="Normal"/>
              <w:numPr>
                <w:ilvl w:val="0"/>
                <w:numId w:val="13"/>
              </w:numPr>
              <w:rPr/>
            </w:pPr>
            <w:r>
              <w:rPr/>
              <w:t xml:space="preserve">Set rates to enable SCE to recover </w:t>
            </w:r>
            <w:r>
              <w:rPr>
                <w:b/>
              </w:rPr>
              <w:t>future</w:t>
            </w:r>
            <w:r>
              <w:rPr/>
              <w:t xml:space="preserve"> net wholesale power costs on a </w:t>
            </w:r>
            <w:r>
              <w:rPr>
                <w:i/>
              </w:rPr>
              <w:t>current</w:t>
            </w:r>
            <w:r>
              <w:rPr/>
              <w:t xml:space="preserve"> basis  (According to pleadings filed by the CA Attorney General, SCE now admits this claim is mooted by passage of AB 1X).</w:t>
            </w:r>
          </w:p>
          <w:p>
            <w:pPr>
              <w:pStyle w:val="Normal"/>
              <w:rPr/>
            </w:pPr>
            <w:r>
              <w:rPr/>
            </w:r>
          </w:p>
          <w:p>
            <w:pPr>
              <w:pStyle w:val="Normal"/>
              <w:numPr>
                <w:ilvl w:val="0"/>
                <w:numId w:val="7"/>
              </w:numPr>
              <w:rPr/>
            </w:pPr>
            <w:r>
              <w:rPr/>
              <w:t xml:space="preserve">Set rates to enable SCE to immediately begin to recover </w:t>
            </w:r>
            <w:r>
              <w:rPr>
                <w:b/>
              </w:rPr>
              <w:t>past</w:t>
            </w:r>
            <w:r>
              <w:rPr/>
              <w:t xml:space="preserve"> net wholesale power cost undercollections.</w:t>
            </w:r>
          </w:p>
          <w:p>
            <w:pPr>
              <w:pStyle w:val="Normal"/>
              <w:rPr/>
            </w:pPr>
            <w:r>
              <w:rPr/>
            </w:r>
          </w:p>
          <w:p>
            <w:pPr>
              <w:pStyle w:val="Normal"/>
              <w:numPr>
                <w:ilvl w:val="0"/>
                <w:numId w:val="23"/>
              </w:numPr>
              <w:rPr/>
            </w:pPr>
            <w:r>
              <w:rPr/>
              <w:t>Return to Court in 7 days with a specific rate plan implementing the rate recovery (presumably only for past undercollections if SCE concedes that AB 1X relieves it from future power purchase obligations).</w:t>
            </w:r>
          </w:p>
          <w:p>
            <w:pPr>
              <w:pStyle w:val="Normal"/>
              <w:rPr/>
            </w:pPr>
            <w:r>
              <w:rPr/>
            </w:r>
          </w:p>
          <w:p>
            <w:pPr>
              <w:pStyle w:val="Normal"/>
              <w:rPr/>
            </w:pPr>
            <w:r>
              <w:rPr>
                <w:b/>
              </w:rPr>
              <w:t xml:space="preserve">Note:  </w:t>
            </w:r>
            <w:r>
              <w:rPr/>
              <w:t>SCE is not asking the Court to determine when or if the rate freeze has ended.  Assuming request for recovery of future costs on a current basis is moot (due to AB 1X), this should reduce the risk of a decision that arguably could effectively result in an immediate lifting of the rate freeze.</w:t>
            </w:r>
          </w:p>
          <w:p>
            <w:pPr>
              <w:pStyle w:val="Normal"/>
              <w:rPr/>
            </w:pPr>
            <w:r>
              <w:rPr/>
            </w:r>
          </w:p>
        </w:tc>
      </w:tr>
      <w:tr>
        <w:trPr>
          <w:trHeight w:val="306" w:hRule="atLeast"/>
        </w:trPr>
        <w:tc>
          <w:tcPr>
            <w:tcW w:w="3438" w:type="dxa"/>
            <w:tcBorders/>
          </w:tcPr>
          <w:p>
            <w:pPr>
              <w:pStyle w:val="Normal"/>
              <w:rPr>
                <w:b/>
              </w:rPr>
            </w:pPr>
            <w:r>
              <w:rPr>
                <w:b/>
              </w:rPr>
              <w:t>SCE's Principal Arguments</w:t>
            </w:r>
          </w:p>
        </w:tc>
        <w:tc>
          <w:tcPr>
            <w:tcW w:w="5418" w:type="dxa"/>
            <w:tcBorders/>
          </w:tcPr>
          <w:p>
            <w:pPr>
              <w:pStyle w:val="Normal"/>
              <w:numPr>
                <w:ilvl w:val="0"/>
                <w:numId w:val="22"/>
              </w:numPr>
              <w:rPr/>
            </w:pPr>
            <w:r>
              <w:rPr/>
              <w:t xml:space="preserve">SCE is suffering irreparable harm because of the likelihood of blackouts and its impending bankruptcy (relying in part on </w:t>
            </w:r>
            <w:r>
              <w:rPr>
                <w:i/>
              </w:rPr>
              <w:t>Public Service Co. of New Hampshire v. Patch</w:t>
            </w:r>
            <w:r>
              <w:rPr/>
              <w:t>).</w:t>
            </w:r>
          </w:p>
          <w:p>
            <w:pPr>
              <w:pStyle w:val="Normal"/>
              <w:rPr/>
            </w:pPr>
            <w:r>
              <w:rPr/>
            </w:r>
          </w:p>
          <w:p>
            <w:pPr>
              <w:pStyle w:val="Normal"/>
              <w:numPr>
                <w:ilvl w:val="0"/>
                <w:numId w:val="5"/>
              </w:numPr>
              <w:rPr/>
            </w:pPr>
            <w:r>
              <w:rPr/>
              <w:t xml:space="preserve">Under the “filed rate” doctrine SCE is entitled to recover its wholesale power costs in retail rates, essentially on the grounds that the retail rate freeze in California is preempted by FERC.  SCE was required to buy from the PX and the ISO, two FERC tariff based entities.  </w:t>
            </w:r>
            <w:r>
              <w:rPr>
                <w:b/>
              </w:rPr>
              <w:t>(According to SCE’s brief the Court has already ruled that the filed rate doctrine applies to market based wholesale purchases.)</w:t>
            </w:r>
          </w:p>
          <w:p>
            <w:pPr>
              <w:pStyle w:val="Normal"/>
              <w:rPr/>
            </w:pPr>
            <w:r>
              <w:rPr/>
            </w:r>
          </w:p>
          <w:p>
            <w:pPr>
              <w:pStyle w:val="Normal"/>
              <w:numPr>
                <w:ilvl w:val="0"/>
                <w:numId w:val="18"/>
              </w:numPr>
              <w:rPr/>
            </w:pPr>
            <w:r>
              <w:rPr/>
              <w:t>The rate structure imposed on SCE by CPUC is confiscatory, and therefore, an unconstitutional "taking."</w:t>
            </w:r>
          </w:p>
          <w:p>
            <w:pPr>
              <w:pStyle w:val="Normal"/>
              <w:rPr/>
            </w:pPr>
            <w:r>
              <w:rPr/>
            </w:r>
          </w:p>
          <w:p>
            <w:pPr>
              <w:pStyle w:val="Normal"/>
              <w:numPr>
                <w:ilvl w:val="0"/>
                <w:numId w:val="20"/>
              </w:numPr>
              <w:rPr/>
            </w:pPr>
            <w:r>
              <w:rPr/>
              <w:t>CPUC’s actions in prohibiting the pass through of wholesale power costs violates Commerce Clause of Constitution.  (Not raised as part of Preliminary Injunction).</w:t>
            </w:r>
          </w:p>
          <w:p>
            <w:pPr>
              <w:pStyle w:val="Normal"/>
              <w:rPr/>
            </w:pPr>
            <w:r>
              <w:rPr/>
            </w:r>
          </w:p>
          <w:p>
            <w:pPr>
              <w:pStyle w:val="Normal"/>
              <w:numPr>
                <w:ilvl w:val="0"/>
                <w:numId w:val="10"/>
              </w:numPr>
              <w:rPr/>
            </w:pPr>
            <w:r>
              <w:rPr/>
              <w:t>Key factual allegation is that CPUC has ruled that SCE will not be able to recover its Transition Revenue Account ("TRA") after rate freeze over. TRA represents the deficit incurred by SCE on power purchases during the rate freeze.</w:t>
            </w:r>
          </w:p>
          <w:p>
            <w:pPr>
              <w:pStyle w:val="Normal"/>
              <w:rPr/>
            </w:pPr>
            <w:r>
              <w:rPr/>
            </w:r>
          </w:p>
        </w:tc>
      </w:tr>
      <w:tr>
        <w:trPr/>
        <w:tc>
          <w:tcPr>
            <w:tcW w:w="3438" w:type="dxa"/>
            <w:tcBorders/>
          </w:tcPr>
          <w:p>
            <w:pPr>
              <w:pStyle w:val="Normal"/>
              <w:rPr>
                <w:b/>
              </w:rPr>
            </w:pPr>
            <w:r>
              <w:rPr>
                <w:b/>
              </w:rPr>
              <w:t>Defenses of CPUC</w:t>
            </w:r>
          </w:p>
          <w:p>
            <w:pPr>
              <w:pStyle w:val="Normal"/>
              <w:rPr/>
            </w:pPr>
            <w:r>
              <w:rPr/>
              <w:t>(Raised in Objection to Prelim-</w:t>
            </w:r>
          </w:p>
          <w:p>
            <w:pPr>
              <w:pStyle w:val="Normal"/>
              <w:rPr/>
            </w:pPr>
            <w:r>
              <w:rPr/>
              <w:t>inary Injunction Motion)</w:t>
            </w:r>
          </w:p>
        </w:tc>
        <w:tc>
          <w:tcPr>
            <w:tcW w:w="5418" w:type="dxa"/>
            <w:tcBorders/>
          </w:tcPr>
          <w:p>
            <w:pPr>
              <w:pStyle w:val="Normal"/>
              <w:numPr>
                <w:ilvl w:val="0"/>
                <w:numId w:val="21"/>
              </w:numPr>
              <w:rPr/>
            </w:pPr>
            <w:r>
              <w:rPr/>
              <w:t>SCE has failed to satisfy high burden for granting of a mandatory injunction.  (This is an extraordinary judicial remedy.)</w:t>
            </w:r>
          </w:p>
          <w:p>
            <w:pPr>
              <w:pStyle w:val="Normal"/>
              <w:rPr/>
            </w:pPr>
            <w:r>
              <w:rPr/>
            </w:r>
          </w:p>
          <w:p>
            <w:pPr>
              <w:pStyle w:val="Normal"/>
              <w:numPr>
                <w:ilvl w:val="0"/>
                <w:numId w:val="6"/>
              </w:numPr>
              <w:rPr/>
            </w:pPr>
            <w:r>
              <w:rPr/>
              <w:t>SCE is simply shifting the burden to consumers, who in turn will suffer irreparable harm.</w:t>
            </w:r>
          </w:p>
          <w:p>
            <w:pPr>
              <w:pStyle w:val="Normal"/>
              <w:rPr/>
            </w:pPr>
            <w:r>
              <w:rPr/>
            </w:r>
          </w:p>
          <w:p>
            <w:pPr>
              <w:pStyle w:val="Normal"/>
              <w:numPr>
                <w:ilvl w:val="0"/>
                <w:numId w:val="6"/>
              </w:numPr>
              <w:rPr/>
            </w:pPr>
            <w:r>
              <w:rPr/>
              <w:t>There is no preemption (even if filed rate doctrine applies) because FERC recognized, and specifically accepted, AB 1890's rate freeze as part of CA electric restructuring.</w:t>
            </w:r>
          </w:p>
          <w:p>
            <w:pPr>
              <w:pStyle w:val="Normal"/>
              <w:rPr/>
            </w:pPr>
            <w:r>
              <w:rPr/>
            </w:r>
          </w:p>
          <w:p>
            <w:pPr>
              <w:pStyle w:val="Normal"/>
              <w:numPr>
                <w:ilvl w:val="0"/>
                <w:numId w:val="3"/>
              </w:numPr>
              <w:rPr/>
            </w:pPr>
            <w:r>
              <w:rPr/>
              <w:t>SCE cannot assert a "taking" claim where it agreed to regulation at issue.  SCE signed and filed with CPUC in 1995 an MOU setting out restructuring format.  Further, SCE never raised claim during initial post-AB 1890 years when it generated significant profits under rate structure.</w:t>
            </w:r>
          </w:p>
          <w:p>
            <w:pPr>
              <w:pStyle w:val="Normal"/>
              <w:rPr/>
            </w:pPr>
            <w:r>
              <w:rPr/>
            </w:r>
          </w:p>
          <w:p>
            <w:pPr>
              <w:pStyle w:val="Normal"/>
              <w:numPr>
                <w:ilvl w:val="0"/>
                <w:numId w:val="15"/>
              </w:numPr>
              <w:rPr/>
            </w:pPr>
            <w:r>
              <w:rPr/>
              <w:t>In judging whether a rate plan is confiscatory (a prerequisite to a taking claim), it is necessary to consider all revenues and costs over the entire period of the rate freeze, not just over isolated time frames.  SCE made substantial profits early on and may make more in future.</w:t>
            </w:r>
          </w:p>
          <w:p>
            <w:pPr>
              <w:pStyle w:val="Normal"/>
              <w:rPr/>
            </w:pPr>
            <w:r>
              <w:rPr/>
            </w:r>
          </w:p>
        </w:tc>
      </w:tr>
      <w:tr>
        <w:trPr/>
        <w:tc>
          <w:tcPr>
            <w:tcW w:w="3438" w:type="dxa"/>
            <w:tcBorders/>
          </w:tcPr>
          <w:p>
            <w:pPr>
              <w:pStyle w:val="Normal"/>
              <w:rPr/>
            </w:pPr>
            <w:r>
              <w:rPr>
                <w:b/>
              </w:rPr>
              <w:t>Responses of CA Attorney General to PI Motion</w:t>
            </w:r>
          </w:p>
          <w:p>
            <w:pPr>
              <w:pStyle w:val="Normal"/>
              <w:rPr>
                <w:b/>
              </w:rPr>
            </w:pPr>
            <w:r>
              <w:rPr>
                <w:b/>
              </w:rPr>
            </w:r>
          </w:p>
        </w:tc>
        <w:tc>
          <w:tcPr>
            <w:tcW w:w="5418" w:type="dxa"/>
            <w:tcBorders/>
          </w:tcPr>
          <w:p>
            <w:pPr>
              <w:pStyle w:val="Normal"/>
              <w:numPr>
                <w:ilvl w:val="0"/>
                <w:numId w:val="19"/>
              </w:numPr>
              <w:rPr/>
            </w:pPr>
            <w:r>
              <w:rPr/>
              <w:t>Defer Preliminary Injunction ruling and consolidate SCE and PG&amp;E cases and expedite trial.</w:t>
            </w:r>
          </w:p>
          <w:p>
            <w:pPr>
              <w:pStyle w:val="Normal"/>
              <w:rPr/>
            </w:pPr>
            <w:r>
              <w:rPr/>
            </w:r>
          </w:p>
          <w:p>
            <w:pPr>
              <w:pStyle w:val="Normal"/>
              <w:numPr>
                <w:ilvl w:val="0"/>
                <w:numId w:val="9"/>
              </w:numPr>
              <w:rPr/>
            </w:pPr>
            <w:r>
              <w:rPr/>
              <w:t>Allow Governor and legislature to continue to craft legislation dealing with past undercollections.  Passage of AB 1X has already alleviated concerns over future power purchases.</w:t>
            </w:r>
          </w:p>
          <w:p>
            <w:pPr>
              <w:pStyle w:val="Normal"/>
              <w:rPr/>
            </w:pPr>
            <w:r>
              <w:rPr/>
            </w:r>
          </w:p>
          <w:p>
            <w:pPr>
              <w:pStyle w:val="Normal"/>
              <w:numPr>
                <w:ilvl w:val="0"/>
                <w:numId w:val="4"/>
              </w:numPr>
              <w:rPr/>
            </w:pPr>
            <w:r>
              <w:rPr/>
              <w:t>Comity principles require that the State be allowed to seek solution first.</w:t>
            </w:r>
          </w:p>
          <w:p>
            <w:pPr>
              <w:pStyle w:val="Normal"/>
              <w:rPr/>
            </w:pPr>
            <w:r>
              <w:rPr/>
            </w:r>
          </w:p>
        </w:tc>
      </w:tr>
      <w:tr>
        <w:trPr/>
        <w:tc>
          <w:tcPr>
            <w:tcW w:w="3438" w:type="dxa"/>
            <w:tcBorders/>
          </w:tcPr>
          <w:p>
            <w:pPr>
              <w:pStyle w:val="Normal"/>
              <w:rPr>
                <w:b/>
              </w:rPr>
            </w:pPr>
            <w:r>
              <w:rPr>
                <w:b/>
              </w:rPr>
              <w:t>Possible Hearing Outcomes and Correlative Implications</w:t>
            </w:r>
          </w:p>
        </w:tc>
        <w:tc>
          <w:tcPr>
            <w:tcW w:w="5418" w:type="dxa"/>
            <w:tcBorders/>
          </w:tcPr>
          <w:p>
            <w:pPr>
              <w:pStyle w:val="Normal"/>
              <w:numPr>
                <w:ilvl w:val="0"/>
                <w:numId w:val="8"/>
              </w:numPr>
              <w:rPr/>
            </w:pPr>
            <w:r>
              <w:rPr/>
              <w:t>Court adopts the recommendation of the AG and delays the decision for a period of time (perhaps two weeks) to allow time for legislation (for past undercollections) to be enacted.  This is a very possible outcome on Monday given that it avoids a difficult ruling and the legislative process arguably is moving forward.  If there is not a legislative fix shortly, the hearing likely would go forward and the Court may consider granting the relief described immediately below.</w:t>
            </w:r>
          </w:p>
          <w:p>
            <w:pPr>
              <w:pStyle w:val="Normal"/>
              <w:rPr/>
            </w:pPr>
            <w:r>
              <w:rPr/>
            </w:r>
          </w:p>
          <w:p>
            <w:pPr>
              <w:pStyle w:val="Normal"/>
              <w:numPr>
                <w:ilvl w:val="0"/>
                <w:numId w:val="17"/>
              </w:numPr>
              <w:rPr/>
            </w:pPr>
            <w:r>
              <w:rPr/>
              <w:t>If Court finds in SCE’s favor – i.e., that rates should be increased to recover all or a portion of the TRA -- it likely would direct CPUC to hold hearings and make decisions as to how to structure recovery.  Unlike the 7-day period requested by SCE, the Court probably would allow CPUC more time to fashion and implement a rate plan.  (A 7-day time period, for example, could engender due process problems due to need to allow affected parties into the process.)  This scenario potentially could result in the end of the rate freeze, arguably effective when the increase in rates became effective.</w:t>
            </w:r>
          </w:p>
          <w:p>
            <w:pPr>
              <w:pStyle w:val="Normal"/>
              <w:rPr/>
            </w:pPr>
            <w:r>
              <w:rPr/>
            </w:r>
          </w:p>
          <w:p>
            <w:pPr>
              <w:pStyle w:val="Normal"/>
              <w:numPr>
                <w:ilvl w:val="0"/>
                <w:numId w:val="14"/>
              </w:numPr>
              <w:rPr/>
            </w:pPr>
            <w:r>
              <w:rPr/>
              <w:t>Court could deny the SCE motion (presumably on the basis that the high standards for a preliminary injunction have not been established).  It is unlikely that the Court would rule on the merits.  Instead, it would probably set an expedited schedule for trial and likely consolidate the PG&amp;E case.</w:t>
            </w:r>
          </w:p>
          <w:p>
            <w:pPr>
              <w:pStyle w:val="Normal"/>
              <w:rPr/>
            </w:pPr>
            <w:r>
              <w:rPr/>
            </w:r>
          </w:p>
          <w:p>
            <w:pPr>
              <w:pStyle w:val="Normal"/>
              <w:rPr/>
            </w:pPr>
            <w:r>
              <w:rPr>
                <w:b/>
              </w:rPr>
              <w:t xml:space="preserve">Note: </w:t>
            </w:r>
            <w:r>
              <w:rPr/>
              <w:t>The preliminary injunction motion represents a strategic shift by SCE from attacking prior CPUC specific actions denying recovery of the TRA to an effort to begin the recovery process at once.</w:t>
            </w:r>
          </w:p>
          <w:p>
            <w:pPr>
              <w:pStyle w:val="Normal"/>
              <w:rPr/>
            </w:pPr>
            <w:r>
              <w:rPr/>
            </w:r>
          </w:p>
        </w:tc>
      </w:tr>
      <w:tr>
        <w:trPr/>
        <w:tc>
          <w:tcPr>
            <w:tcW w:w="3438" w:type="dxa"/>
            <w:tcBorders/>
          </w:tcPr>
          <w:p>
            <w:pPr>
              <w:pStyle w:val="Normal"/>
              <w:rPr>
                <w:b/>
              </w:rPr>
            </w:pPr>
            <w:r>
              <w:rPr>
                <w:b/>
              </w:rPr>
              <w:t>Potential Creditor Responses</w:t>
            </w:r>
          </w:p>
        </w:tc>
        <w:tc>
          <w:tcPr>
            <w:tcW w:w="5418" w:type="dxa"/>
            <w:tcBorders/>
          </w:tcPr>
          <w:p>
            <w:pPr>
              <w:pStyle w:val="Normal"/>
              <w:numPr>
                <w:ilvl w:val="0"/>
                <w:numId w:val="11"/>
              </w:numPr>
              <w:rPr/>
            </w:pPr>
            <w:r>
              <w:rPr/>
              <w:t>If the Court orders the CPUC to hold hearings to allow recovery of the TRA, creditors will likely interpret this as a reason to continue to work with SCE and PG&amp;E outside a bankruptcy case.  However, they are still likely to press hard for a political/legislative solution because of significant concerns as to whether the decision will stand up on appeal (</w:t>
            </w:r>
            <w:r>
              <w:rPr>
                <w:i/>
              </w:rPr>
              <w:t>see</w:t>
            </w:r>
            <w:r>
              <w:rPr/>
              <w:t xml:space="preserve"> below).</w:t>
            </w:r>
          </w:p>
          <w:p>
            <w:pPr>
              <w:pStyle w:val="Normal"/>
              <w:rPr/>
            </w:pPr>
            <w:r>
              <w:rPr/>
            </w:r>
          </w:p>
          <w:p>
            <w:pPr>
              <w:pStyle w:val="Normal"/>
              <w:numPr>
                <w:ilvl w:val="0"/>
                <w:numId w:val="16"/>
              </w:numPr>
              <w:rPr/>
            </w:pPr>
            <w:r>
              <w:rPr/>
              <w:t>The reaction to a loss by SCE and the granting of the State's request for a delay are likely to get similar responses from creditors.  It makes the political/legislative solution imperative from the perspective of the financial condition of SCE.  If that process is not resolved successfully soon, they may take action to force a bankruptcy.  (</w:t>
            </w:r>
            <w:r>
              <w:rPr>
                <w:b/>
              </w:rPr>
              <w:t>Note</w:t>
            </w:r>
            <w:r>
              <w:rPr/>
              <w:t>:  Dynergy, Reliant and Mirant (i.e., Southern) on Friday formed an informal “creditors” committee, in part as a result of frustration with the delay in the CA legislative progress).</w:t>
            </w:r>
          </w:p>
          <w:p>
            <w:pPr>
              <w:pStyle w:val="Footer"/>
              <w:rPr/>
            </w:pPr>
            <w:r>
              <w:rPr/>
            </w:r>
          </w:p>
        </w:tc>
      </w:tr>
      <w:tr>
        <w:trPr/>
        <w:tc>
          <w:tcPr>
            <w:tcW w:w="3438" w:type="dxa"/>
            <w:tcBorders/>
          </w:tcPr>
          <w:p>
            <w:pPr>
              <w:pStyle w:val="Normal"/>
              <w:rPr>
                <w:b/>
              </w:rPr>
            </w:pPr>
            <w:r>
              <w:rPr>
                <w:b/>
              </w:rPr>
              <w:t>Appellate Issues</w:t>
            </w:r>
          </w:p>
        </w:tc>
        <w:tc>
          <w:tcPr>
            <w:tcW w:w="5418" w:type="dxa"/>
            <w:tcBorders/>
          </w:tcPr>
          <w:p>
            <w:pPr>
              <w:pStyle w:val="Normal"/>
              <w:numPr>
                <w:ilvl w:val="0"/>
                <w:numId w:val="11"/>
              </w:numPr>
              <w:rPr/>
            </w:pPr>
            <w:r>
              <w:rPr/>
              <w:t>If CPUC loses the motion, it is considered quite likely that it will appeal.  Given that the District Judge is a Republican appointee, it is possible that the 9</w:t>
            </w:r>
            <w:r>
              <w:rPr>
                <w:vertAlign w:val="superscript"/>
              </w:rPr>
              <w:t>th</w:t>
            </w:r>
            <w:r>
              <w:rPr/>
              <w:t xml:space="preserve"> Circuit, comprised largely of Democratic appointees, would stay the order on appeal.  In such event the CPUC action could be delayed several months even if the appeal ultimately is not successful.  </w:t>
            </w:r>
          </w:p>
          <w:p>
            <w:pPr>
              <w:pStyle w:val="Normal"/>
              <w:rPr/>
            </w:pPr>
            <w:r>
              <w:rPr/>
            </w:r>
          </w:p>
          <w:p>
            <w:pPr>
              <w:pStyle w:val="Normal"/>
              <w:numPr>
                <w:ilvl w:val="0"/>
                <w:numId w:val="12"/>
              </w:numPr>
              <w:rPr/>
            </w:pPr>
            <w:r>
              <w:rPr/>
              <w:t>If SCE loses it would probably only appeal if it intended to take the matter to the U.S. Supreme Court.  It is not likely that the 9th</w:t>
            </w:r>
            <w:r>
              <w:rPr>
                <w:vertAlign w:val="superscript"/>
              </w:rPr>
              <w:t xml:space="preserve"> </w:t>
            </w:r>
            <w:r>
              <w:rPr/>
              <w:t>Circuit would overturn a victory by the State.</w:t>
            </w:r>
          </w:p>
          <w:p>
            <w:pPr>
              <w:pStyle w:val="Normal"/>
              <w:rPr/>
            </w:pPr>
            <w:r>
              <w:rPr/>
            </w:r>
          </w:p>
        </w:tc>
      </w:tr>
      <w:tr>
        <w:trPr/>
        <w:tc>
          <w:tcPr>
            <w:tcW w:w="3438" w:type="dxa"/>
            <w:tcBorders/>
          </w:tcPr>
          <w:p>
            <w:pPr>
              <w:pStyle w:val="Normal"/>
              <w:rPr/>
            </w:pPr>
            <w:r>
              <w:rPr>
                <w:b/>
              </w:rPr>
              <w:t>Certain Implications for EES</w:t>
            </w:r>
          </w:p>
        </w:tc>
        <w:tc>
          <w:tcPr>
            <w:tcW w:w="5418" w:type="dxa"/>
            <w:tcBorders/>
          </w:tcPr>
          <w:p>
            <w:pPr>
              <w:pStyle w:val="Normal"/>
              <w:numPr>
                <w:ilvl w:val="0"/>
                <w:numId w:val="11"/>
              </w:numPr>
              <w:rPr/>
            </w:pPr>
            <w:r>
              <w:rPr/>
              <w:t>If the Court grants the delay requested by the CA Attorney General, that result generally would not be problematic for EES.  It would defer the rate freeze determination issue.</w:t>
            </w:r>
          </w:p>
          <w:p>
            <w:pPr>
              <w:pStyle w:val="Normal"/>
              <w:rPr/>
            </w:pPr>
            <w:r>
              <w:rPr/>
            </w:r>
          </w:p>
          <w:p>
            <w:pPr>
              <w:pStyle w:val="Normal"/>
              <w:numPr>
                <w:ilvl w:val="0"/>
                <w:numId w:val="2"/>
              </w:numPr>
              <w:rPr/>
            </w:pPr>
            <w:r>
              <w:rPr/>
              <w:t>Likewise, a ruling by the Court that SCE may recover its TRA, but which sends the matter to the CPUC for final determination and implementation may also be acceptable because it might prevent a Chapter 11 filing and delay the effective date of the ultimate rate increase.</w:t>
            </w:r>
          </w:p>
        </w:tc>
      </w:tr>
      <w:tr>
        <w:trPr/>
        <w:tc>
          <w:tcPr>
            <w:tcW w:w="3438" w:type="dxa"/>
            <w:tcBorders/>
          </w:tcPr>
          <w:p>
            <w:pPr>
              <w:pStyle w:val="Normal"/>
              <w:snapToGrid w:val="false"/>
              <w:rPr>
                <w:b/>
              </w:rPr>
            </w:pPr>
            <w:r>
              <w:rPr>
                <w:b/>
              </w:rPr>
            </w:r>
          </w:p>
        </w:tc>
        <w:tc>
          <w:tcPr>
            <w:tcW w:w="5418" w:type="dxa"/>
            <w:tcBorders/>
          </w:tcPr>
          <w:p>
            <w:pPr>
              <w:pStyle w:val="Normal"/>
              <w:numPr>
                <w:ilvl w:val="0"/>
                <w:numId w:val="0"/>
              </w:numPr>
              <w:snapToGrid w:val="false"/>
              <w:ind w:hanging="0" w:start="0"/>
              <w:rPr>
                <w:b/>
              </w:rPr>
            </w:pPr>
            <w:r>
              <w:rPr>
                <w:b/>
              </w:rPr>
            </w:r>
          </w:p>
        </w:tc>
      </w:tr>
    </w:tbl>
    <w:p>
      <w:pPr>
        <w:pStyle w:val="Normal"/>
        <w:rPr>
          <w:b/>
        </w:rPr>
      </w:pPr>
      <w:r>
        <w:rPr>
          <w:b/>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1z0">
    <w:name w:val="WW8Num11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2001-02-11T02:03:00Z</dcterms:created>
  <dc:creator>IS Department</dc:creator>
  <dc:description/>
  <cp:keywords>DN 162248.1 02618 00125 2/10/2001  5:08 PM</cp:keywords>
  <dc:language>en-CA</dc:language>
  <cp:lastModifiedBy>John G. Klauberg</cp:lastModifiedBy>
  <cp:lastPrinted>2001-02-11T00:12:00Z</cp:lastPrinted>
  <dcterms:modified xsi:type="dcterms:W3CDTF">2001-02-11T03:04:00Z</dcterms:modified>
  <cp:revision>17</cp:revision>
  <dc:subject/>
  <dc:title>POSSIBLE OUTCOMES OF SCE</dc:title>
</cp:coreProperties>
</file>