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ddress"/>
        <w:numPr>
          <w:ilvl w:val="0"/>
          <w:numId w:val="0"/>
        </w:numPr>
        <w:outlineLvl w:val="0"/>
        <w:rPr/>
      </w:pPr>
      <w:r>
        <w:rPr/>
      </w:r>
    </w:p>
    <w:p>
      <w:pPr>
        <w:pStyle w:val="Address"/>
        <w:numPr>
          <w:ilvl w:val="0"/>
          <w:numId w:val="0"/>
        </w:numPr>
        <w:outlineLvl w:val="0"/>
        <w:rPr/>
      </w:pPr>
      <w:r>
        <w:rPr/>
        <w:t>February 13, 2001</w:t>
      </w:r>
    </w:p>
    <w:p>
      <w:pPr>
        <w:pStyle w:val="Address"/>
        <w:numPr>
          <w:ilvl w:val="0"/>
          <w:numId w:val="0"/>
        </w:numPr>
        <w:outlineLvl w:val="0"/>
        <w:rPr/>
      </w:pPr>
      <w:r>
        <w:rPr/>
      </w:r>
    </w:p>
    <w:p>
      <w:pPr>
        <w:pStyle w:val="Address"/>
        <w:numPr>
          <w:ilvl w:val="0"/>
          <w:numId w:val="0"/>
        </w:numPr>
        <w:outlineLvl w:val="0"/>
        <w:rPr/>
      </w:pPr>
      <w:r>
        <w:rPr/>
      </w:r>
    </w:p>
    <w:p>
      <w:pPr>
        <w:pStyle w:val="Address"/>
        <w:numPr>
          <w:ilvl w:val="0"/>
          <w:numId w:val="0"/>
        </w:numPr>
        <w:outlineLvl w:val="0"/>
        <w:rPr/>
      </w:pPr>
      <w:r>
        <w:rPr/>
        <w:t>The Honorable John Burton</w:t>
      </w:r>
    </w:p>
    <w:p>
      <w:pPr>
        <w:pStyle w:val="Address"/>
        <w:rPr/>
      </w:pPr>
      <w:r>
        <w:rPr/>
        <w:t>President Pro Tempore</w:t>
      </w:r>
    </w:p>
    <w:p>
      <w:pPr>
        <w:pStyle w:val="Address"/>
        <w:rPr/>
      </w:pPr>
      <w:r>
        <w:rPr/>
        <w:t>California State Senate</w:t>
      </w:r>
    </w:p>
    <w:p>
      <w:pPr>
        <w:pStyle w:val="ReLine"/>
        <w:ind w:start="2160" w:end="115"/>
        <w:rPr>
          <w:b/>
        </w:rPr>
      </w:pPr>
      <w:r>
        <w:rPr>
          <w:b/>
        </w:rPr>
        <w:t>Re:</w:t>
        <w:tab/>
      </w:r>
      <w:r>
        <w:rPr>
          <w:b/>
          <w:u w:val="single"/>
        </w:rPr>
        <w:t xml:space="preserve">Re: SB 33X </w:t>
      </w:r>
    </w:p>
    <w:p>
      <w:pPr>
        <w:pStyle w:val="Salutation"/>
        <w:rPr/>
      </w:pPr>
      <w:r>
        <w:rPr/>
        <w:t>Dear Senator Burton:</w:t>
      </w:r>
    </w:p>
    <w:p>
      <w:pPr>
        <w:pStyle w:val="BodyText"/>
        <w:ind w:firstLine="720" w:end="0"/>
        <w:rPr/>
      </w:pPr>
      <w:r>
        <w:rPr/>
        <w:t xml:space="preserve">Enron North America Corp. and Enron Energy Services, Inc., collectively referred to herein as Enron, must regretfully advise you of their opposition to SB 33X.  </w:t>
      </w:r>
    </w:p>
    <w:p>
      <w:pPr>
        <w:pStyle w:val="BodyText"/>
        <w:ind w:hanging="0" w:end="0"/>
        <w:rPr/>
      </w:pPr>
      <w:r>
        <w:rPr/>
        <w:tab/>
        <w:t>Enron has several different concerns with the possible impact of SB 33X on the California electric transmission system and on the energy infrastructure of the state as a whole.  First, to the extent a purchase of the investor-owned utilities’ transmission systems is viewed as a means to obtain some value from the utilities in exchange for an influx of cash to assist the utilities in resolving their serious credit problems, Enron respectfully suggests that the bill will provide no significant improvement in the utilities’ financial condition.  Whether the state were willing to pay the fair market value of the transmission system or merely the book value for regulatory purposes, such a purchase would not add any additional value to the utilities’ assets.  The financial markets have already taken the value of the utilities’ transmission assets into account.  Selling the assets to the state for cash would simply result in a transformation of the assets into a more liquid form, it would not increase them at all.  However, obtaining additional financial resources is what both the markets and the utilities will require to ease the current credit crisis.  Enron believes that it would be unwise to disrupt the ownership and operation of the electric transmission system given all the other problems in the energy markets when the goal of providing financial assistance to the utilities would not be realized.</w:t>
      </w:r>
    </w:p>
    <w:p>
      <w:pPr>
        <w:pStyle w:val="BodyText"/>
        <w:ind w:firstLine="720" w:end="0"/>
        <w:rPr/>
      </w:pPr>
      <w:r>
        <w:rPr/>
        <w:t>Second, state ownership of the transmission system would cause the State of California and its component local government units to sustain serious revenue losses.  The valuable transmission assets would be lost from the tax base, thereby reducing tax revenues to both the state and local governments.  In addition, Enron is seriously concerned that the state would incur higher, not lower, costs in order to operate and improve the transmission system than a private party with substantial experience in managing transmission resources.   Enron also notes that the bill calls for the state to contract with the utilities to operate the transmission system without spelling out the terms of such a contract.  Again, this type of arrangement could potentially cost the state more than the operation of the current transmission system entails.</w:t>
      </w:r>
    </w:p>
    <w:p>
      <w:pPr>
        <w:pStyle w:val="BodyText"/>
        <w:ind w:hanging="0" w:end="0"/>
        <w:rPr/>
      </w:pPr>
      <w:r>
        <w:rPr/>
        <w:tab/>
        <w:t>Another serious concern for Enron lies in the potential conflict of interest that would arise if the state were to operate the transmission system while simultaneously playing a major role in the generation and electric commodity markets.  Recent legislation has authorized the California Department of Water Resources (DWR) to become the primary purchaser of electricity for the bundled customers of the investor-owned utilities.  If the State of California were also to become the owner and operator of the statewide electric transmission system, the State would become a vertically integrated utility with the potential to dramatically affect the working of the market.  Enron is concerned that the proposed Transmission Authority might grant preferences in transmission rights or rates to DWR which would not be available to third party participants in the market.   Obviously, even the potential for such an outcome discourages other market participants from investing in the California market.  At a time when the state needs to encourage even more investment in its energy infrastructure, it is exceedingly unwise to raise the prospect of an unfair competitive environment.</w:t>
      </w:r>
    </w:p>
    <w:p>
      <w:pPr>
        <w:pStyle w:val="BodyText"/>
        <w:ind w:hanging="0" w:end="0"/>
        <w:rPr/>
      </w:pPr>
      <w:r>
        <w:rPr/>
        <w:tab/>
        <w:t>In trying to address the objectives of  SB 33X, Enron notes that if improving and accelerating transmission upgrades is a central goal, the Legislature should seriously consider increasing the regulatory scrutiny over the investor-owned utilities under the existing authority in the Public Utilities Code, in order to ensure that upgrades are made in a timely fashion and that adequate maintenance and state of the art operational procedures are maintained.  There is a substantial likelihood that a newly created state bureaucracy will not be able to operate the transmission system as smoothly, as efficiently, as reliably, or as cost-effectively as the existing utilities and the ISO.  Nor will SB 33X create a true “transco”, as much of the transmission system will remain in the hands of the municipal utilities.   Similarly, the bill will do nothing to facilitate the coordination of California’s transmission with that of the other Western U.S. transmission systems.  Municipal utility transmission assets and out-of-state assets would continue to be separately managed and operated.  Again, with all of the other problems in the California energy market, this does not seem to be the appropriate time to risk additional inefficiencies.</w:t>
      </w:r>
    </w:p>
    <w:p>
      <w:pPr>
        <w:pStyle w:val="BodyText"/>
        <w:ind w:hanging="0" w:end="0"/>
        <w:rPr/>
      </w:pPr>
      <w:r>
        <w:rPr/>
        <w:tab/>
        <w:t xml:space="preserve">Enron is eager to work with you and other members of the Legislature to find comprehensive solutions to California’s energy crisis.  However, Enron is concerned that SB 33X could well create additional problems for electric customers and for the state itself, while providing no real financial relief to the investor-owned utilities.  We look forward to discussing our concerns with you and with other members and offer our promise to continue seeking constructive solutions for the Legislature to consider.  </w:t>
      </w:r>
    </w:p>
    <w:p>
      <w:pPr>
        <w:pStyle w:val="LetterSignature"/>
        <w:rPr/>
      </w:pPr>
      <w:r>
        <w:rPr/>
        <w:t>Very truly yours,</w:t>
      </w:r>
    </w:p>
    <w:p>
      <w:pPr>
        <w:pStyle w:val="LetterSignature"/>
        <w:spacing w:before="720" w:after="0"/>
        <w:rPr/>
      </w:pPr>
      <w:r>
        <w:rPr/>
        <w:t>Sandra McCubbin</w:t>
      </w:r>
    </w:p>
    <w:p>
      <w:pPr>
        <w:pStyle w:val="LetterSignature"/>
        <w:spacing w:before="720" w:after="0"/>
        <w:rPr/>
      </w:pPr>
      <w:r>
        <w:rPr/>
      </w:r>
    </w:p>
    <w:p>
      <w:pPr>
        <w:pStyle w:val="Normal"/>
        <w:rPr/>
      </w:pPr>
      <w:r>
        <w:rPr/>
        <w:t>Cc: Honorable Members: Senate Energy, Utilities and Communications Committee</w:t>
      </w:r>
    </w:p>
    <w:p>
      <w:pPr>
        <w:pStyle w:val="Normal"/>
        <w:rPr/>
      </w:pPr>
      <w:r>
        <w:rPr/>
      </w:r>
    </w:p>
    <w:p>
      <w:pPr>
        <w:pStyle w:val="Normal"/>
        <w:rPr/>
      </w:pPr>
      <w:r>
        <w:rPr/>
      </w:r>
    </w:p>
    <w:sectPr>
      <w:headerReference w:type="default" r:id="rId2"/>
      <w:headerReference w:type="first" r:id="rId3"/>
      <w:type w:val="nextPage"/>
      <w:pgSz w:w="12240" w:h="15840"/>
      <w:pgMar w:left="1440" w:right="1440" w:gutter="0" w:header="936"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t>SBX 33</w:t>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2</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snapToGrid w:val="false"/>
            <w:rPr/>
          </w:pPr>
          <w:r>
            <w:rPr/>
          </w:r>
        </w:p>
      </w:tc>
      <w:tc>
        <w:tcPr>
          <w:tcW w:w="5110" w:type="dxa"/>
          <w:tcBorders/>
        </w:tcPr>
        <w:p>
          <w:pPr>
            <w:pStyle w:val="Letterhead"/>
            <w:snapToGrid w:val="false"/>
            <w:jc w:val="center"/>
            <w:rPr/>
          </w:pPr>
          <w:r>
            <w:rPr/>
          </w:r>
        </w:p>
      </w:tc>
      <w:tc>
        <w:tcPr>
          <w:tcW w:w="2160" w:type="dxa"/>
          <w:tcBorders/>
        </w:tcPr>
        <w:p>
          <w:pPr>
            <w:pStyle w:val="Letterhead"/>
            <w:snapToGrid w:val="false"/>
            <w:rPr>
              <w:kern w:val="2"/>
            </w:rPr>
          </w:pPr>
          <w:r>
            <w:rPr>
              <w:kern w:val="2"/>
            </w:rPr>
          </w:r>
        </w:p>
      </w:tc>
    </w:tr>
  </w:tbl>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24"/>
    </w:rPr>
  </w:style>
  <w:style w:type="paragraph" w:styleId="Header">
    <w:name w:val="header"/>
    <w:basedOn w:val="Normal"/>
    <w:pPr>
      <w:tabs>
        <w:tab w:val="clear" w:pos="720"/>
        <w:tab w:val="center" w:pos="4680" w:leader="none"/>
      </w:tabs>
    </w:pPr>
    <w:rPr>
      <w:sz w:val="24"/>
    </w:rPr>
  </w:style>
  <w:style w:type="paragraph" w:styleId="LHFirmName">
    <w:name w:val="LH Firm Name"/>
    <w:basedOn w:val="Normal"/>
    <w:qFormat/>
    <w:pPr/>
    <w:rPr>
      <w:sz w:val="24"/>
    </w:rPr>
  </w:style>
  <w:style w:type="paragraph" w:styleId="Address">
    <w:name w:val="Address"/>
    <w:basedOn w:val="Normal"/>
    <w:qFormat/>
    <w:pPr/>
    <w:rPr>
      <w:sz w:val="24"/>
    </w:rPr>
  </w:style>
  <w:style w:type="paragraph" w:styleId="LetterSignature">
    <w:name w:val="Letter Signature"/>
    <w:basedOn w:val="Normal"/>
    <w:qFormat/>
    <w:pPr>
      <w:keepNext w:val="true"/>
      <w:keepLines/>
      <w:ind w:hanging="0" w:start="5760" w:end="0"/>
    </w:pPr>
    <w:rPr>
      <w:sz w:val="24"/>
    </w:rPr>
  </w:style>
  <w:style w:type="paragraph" w:styleId="ReLine">
    <w:name w:val="ReLine"/>
    <w:basedOn w:val="Normal"/>
    <w:next w:val="Normal"/>
    <w:qFormat/>
    <w:pPr>
      <w:spacing w:before="240" w:after="0"/>
      <w:ind w:hanging="720" w:start="1440" w:end="0"/>
    </w:pPr>
    <w:rPr>
      <w:sz w:val="24"/>
    </w:rPr>
  </w:style>
  <w:style w:type="paragraph" w:styleId="Salutation">
    <w:name w:val="Salutation"/>
    <w:basedOn w:val="Normal"/>
    <w:next w:val="BodyText"/>
    <w:qFormat/>
    <w:pPr>
      <w:spacing w:before="240" w:after="240"/>
    </w:pPr>
    <w:rPr>
      <w:sz w:val="24"/>
    </w:rPr>
  </w:style>
  <w:style w:type="paragraph" w:styleId="Letterhead">
    <w:name w:val="Letterhead"/>
    <w:qFormat/>
    <w:pPr>
      <w:widowControl/>
      <w:tabs>
        <w:tab w:val="clear" w:pos="720"/>
        <w:tab w:val="center" w:pos="1886" w:leader="none"/>
      </w:tabs>
      <w:bidi w:val="0"/>
    </w:pPr>
    <w:rPr>
      <w:rFonts w:ascii="Book Antiqua" w:hAnsi="Book Antiqua" w:eastAsia="Times New Roman" w:cs="Book Antiqua"/>
      <w:color w:val="auto"/>
      <w:sz w:val="17"/>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2001-02-13T10:48:00Z</dcterms:created>
  <dc:creator>Governmental Advocates, Inc.</dc:creator>
  <dc:description/>
  <dc:language>en-CA</dc:language>
  <cp:lastModifiedBy>Governmental Advocates, Inc.</cp:lastModifiedBy>
  <cp:lastPrinted>2001-02-13T05:28:00Z</cp:lastPrinted>
  <dcterms:modified xsi:type="dcterms:W3CDTF">2001-02-13T10:58:00Z</dcterms:modified>
  <cp:revision>1</cp:revision>
  <dc:subject/>
  <dc:title>February 13, 2001</dc:title>
</cp:coreProperties>
</file>