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t>February 19, 2001</w:t>
      </w:r>
    </w:p>
    <w:p>
      <w:pPr>
        <w:pStyle w:val="Normal"/>
        <w:rPr>
          <w:b/>
          <w:sz w:val="22"/>
        </w:rPr>
      </w:pPr>
      <w:r>
        <w:rPr>
          <w:b/>
          <w:sz w:val="22"/>
        </w:rPr>
      </w:r>
    </w:p>
    <w:p>
      <w:pPr>
        <w:pStyle w:val="Normal"/>
        <w:rPr>
          <w:b/>
          <w:sz w:val="22"/>
        </w:rPr>
      </w:pPr>
      <w:r>
        <w:rPr>
          <w:b/>
          <w:sz w:val="22"/>
        </w:rPr>
      </w:r>
    </w:p>
    <w:p>
      <w:pPr>
        <w:pStyle w:val="Normal"/>
        <w:rPr>
          <w:b/>
          <w:sz w:val="22"/>
        </w:rPr>
      </w:pPr>
      <w:r>
        <w:rPr>
          <w:b/>
          <w:sz w:val="22"/>
        </w:rPr>
        <w:t xml:space="preserve">To: </w:t>
        <w:tab/>
        <w:tab/>
        <w:t>The Honorable John Burton</w:t>
      </w:r>
    </w:p>
    <w:p>
      <w:pPr>
        <w:pStyle w:val="Normal"/>
        <w:ind w:firstLine="720" w:start="720" w:end="0"/>
        <w:rPr>
          <w:b/>
          <w:sz w:val="22"/>
        </w:rPr>
      </w:pPr>
      <w:r>
        <w:rPr>
          <w:b/>
          <w:sz w:val="22"/>
        </w:rPr>
        <w:t>Members, California State Senate</w:t>
      </w:r>
    </w:p>
    <w:p>
      <w:pPr>
        <w:pStyle w:val="Normal"/>
        <w:ind w:firstLine="720" w:end="0"/>
        <w:rPr>
          <w:b/>
          <w:sz w:val="22"/>
        </w:rPr>
      </w:pPr>
      <w:r>
        <w:rPr>
          <w:b/>
          <w:sz w:val="22"/>
        </w:rPr>
      </w:r>
    </w:p>
    <w:p>
      <w:pPr>
        <w:pStyle w:val="Normal"/>
        <w:rPr>
          <w:b/>
          <w:sz w:val="22"/>
        </w:rPr>
      </w:pPr>
      <w:r>
        <w:rPr>
          <w:b/>
          <w:sz w:val="22"/>
        </w:rPr>
        <w:t>From:</w:t>
        <w:tab/>
        <w:tab/>
        <w:t>Hedy Govenar, Bev Hansen, Scott Govenar</w:t>
      </w:r>
    </w:p>
    <w:p>
      <w:pPr>
        <w:pStyle w:val="Heading2"/>
        <w:ind w:hanging="0" w:start="0"/>
        <w:rPr/>
      </w:pPr>
      <w:r>
        <w:rPr/>
        <w:tab/>
        <w:tab/>
        <w:t>Legislative Advocates - Enron North America Corp. and Enron Energy Services</w:t>
      </w:r>
    </w:p>
    <w:p>
      <w:pPr>
        <w:pStyle w:val="Normal"/>
        <w:rPr>
          <w:b/>
          <w:sz w:val="22"/>
        </w:rPr>
      </w:pPr>
      <w:r>
        <w:rPr>
          <w:b/>
          <w:sz w:val="22"/>
        </w:rPr>
      </w:r>
    </w:p>
    <w:p>
      <w:pPr>
        <w:pStyle w:val="Heading2"/>
        <w:ind w:hanging="0" w:start="0"/>
        <w:rPr/>
      </w:pPr>
      <w:r>
        <w:rPr/>
        <w:t>Re:</w:t>
        <w:tab/>
        <w:tab/>
        <w:t>Opposition to SBX 33</w:t>
      </w:r>
    </w:p>
    <w:p>
      <w:pPr>
        <w:pStyle w:val="Normal"/>
        <w:rPr>
          <w:sz w:val="22"/>
        </w:rPr>
      </w:pPr>
      <w:r>
        <w:rPr>
          <w:sz w:val="22"/>
        </w:rPr>
      </w:r>
    </w:p>
    <w:p>
      <w:pPr>
        <w:pStyle w:val="Normal"/>
        <w:rPr>
          <w:sz w:val="22"/>
        </w:rPr>
      </w:pPr>
      <w:r>
        <w:rPr>
          <w:sz w:val="22"/>
        </w:rPr>
      </w:r>
    </w:p>
    <w:p>
      <w:pPr>
        <w:pStyle w:val="BodyText"/>
        <w:ind w:firstLine="720" w:end="0"/>
        <w:rPr>
          <w:sz w:val="22"/>
        </w:rPr>
      </w:pPr>
      <w:r>
        <w:rPr>
          <w:sz w:val="22"/>
        </w:rPr>
        <w:t xml:space="preserve">As you prepare to vote on SBX 33, Enron North America Corp. and Enron Energy Services, Inc., collectively referred to herein as Enron, must regretfully advise you of their serious concerns with SBX 33.  </w:t>
      </w:r>
    </w:p>
    <w:p>
      <w:pPr>
        <w:pStyle w:val="BodyText"/>
        <w:ind w:firstLine="720" w:end="0"/>
        <w:rPr>
          <w:sz w:val="22"/>
        </w:rPr>
      </w:pPr>
      <w:r>
        <w:rPr>
          <w:sz w:val="22"/>
        </w:rPr>
        <w:t xml:space="preserve">Enron believes the bill will result in no significant improvement in the utilities’ financial condition.  Whether the state were willing to pay the fair market value of the transmission system or merely the book value for regulatory purposes, such a purchase would not add any additional value to the utilities’ assets.  Selling the assets to the state for cash would simply result in a transformation of the assets into a more liquid form, it would not increase the asset value.  Because the utilities’ debts would still exceed the state’s purchase price, the utilities’ would no longer have enough assets to cover the difference.    </w:t>
      </w:r>
    </w:p>
    <w:p>
      <w:pPr>
        <w:pStyle w:val="BodyText"/>
        <w:ind w:firstLine="720" w:end="0"/>
        <w:rPr>
          <w:sz w:val="22"/>
        </w:rPr>
      </w:pPr>
      <w:r>
        <w:rPr>
          <w:sz w:val="22"/>
        </w:rPr>
        <w:t>State ownership of the transmission system would also cause the state and local government to sustain serious revenue losses.  The valuable transmission assets would be lost from the tax base, thereby reducing tax revenues to both the state and local governments.  In addition, Enron is concerned that the state would incur higher, not lower, costs in order to operate and improve the transmission system than a private party with substantial experience in managing transmission resources.</w:t>
      </w:r>
    </w:p>
    <w:p>
      <w:pPr>
        <w:pStyle w:val="BodyText"/>
        <w:ind w:firstLine="720" w:end="0"/>
        <w:rPr>
          <w:sz w:val="22"/>
        </w:rPr>
      </w:pPr>
      <w:r>
        <w:rPr>
          <w:sz w:val="22"/>
        </w:rPr>
        <w:t xml:space="preserve">Another serious concern for Enron lies in the potential conflict of interest that would arise if the state were to operate the transmission system while simultaneously playing a major role in the generation and electric commodity markets.  With the passage of ABX 1, if the state were also to become the owner and operator of the statewide electric transmission system, the state would become a vertically integrated utility with the potential to dramatically affect the working of the market.  Enron is concerned that the proposed Transmission Authority might grant preferences in transmission rights or rates to the DWR which would not be available to third party participants in the market.  Even the potential for such an outcome discourages other market participants from investing in the state.  At a time when the state needs to encourage more investment in its energy infrastructure, it is exceedingly unwise to raise the prospect of an unfair competitive </w:t>
      </w:r>
    </w:p>
    <w:p>
      <w:pPr>
        <w:pStyle w:val="BodyText"/>
        <w:ind w:firstLine="720" w:end="0"/>
        <w:rPr>
          <w:sz w:val="22"/>
        </w:rPr>
      </w:pPr>
      <w:r>
        <w:rPr>
          <w:sz w:val="22"/>
        </w:rPr>
        <w:t xml:space="preserve">Enron is eager to work with the Legislature to find comprehensive solutions to California’s energy crisis.  However, Enron is concerned that SBX 33 will create additional problems for electric customers and for the state itself, while providing no real financial relief to the investor-owned utilities. </w:t>
      </w:r>
    </w:p>
    <w:p>
      <w:pPr>
        <w:pStyle w:val="BodyText"/>
        <w:spacing w:before="0" w:after="240"/>
        <w:ind w:hanging="0" w:end="0"/>
        <w:rPr>
          <w:sz w:val="22"/>
        </w:rPr>
      </w:pPr>
      <w:r>
        <w:rPr>
          <w:sz w:val="22"/>
        </w:rPr>
        <w:tab/>
        <w:tab/>
        <w:tab/>
        <w:tab/>
        <w:tab/>
      </w:r>
    </w:p>
    <w:sectPr>
      <w:headerReference w:type="default" r:id="rId2"/>
      <w:headerReference w:type="first" r:id="rId3"/>
      <w:type w:val="nextPage"/>
      <w:pgSz w:w="12240" w:h="15840"/>
      <w:pgMar w:left="1296" w:right="1296" w:gutter="0" w:header="720" w:top="1152"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pPr>
    <w:r>
      <w:rPr/>
      <w:t>SBX 33</w:t>
    </w:r>
  </w:p>
  <w:p>
    <w:pPr>
      <w:pStyle w:val="Normal"/>
      <w:tabs>
        <w:tab w:val="clear" w:pos="720"/>
        <w:tab w:val="center" w:pos="4680" w:leader="none"/>
        <w:tab w:val="right" w:pos="9360" w:leader="none"/>
      </w:tabs>
      <w:spacing w:before="0" w:after="480"/>
      <w:rPr/>
    </w:pPr>
    <w:r>
      <w:rPr/>
      <w:t xml:space="preserve">Page </w:t>
    </w:r>
    <w:r>
      <w:rPr/>
      <w:fldChar w:fldCharType="begin"/>
    </w:r>
    <w:r>
      <w:rPr/>
      <w:instrText xml:space="preserve"> PAGE \* ARABIC </w:instrText>
    </w:r>
    <w:r>
      <w:rPr/>
      <w:fldChar w:fldCharType="separate"/>
    </w:r>
    <w:r>
      <w:rPr/>
      <w:t>0</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30" w:type="dxa"/>
      <w:jc w:val="start"/>
      <w:tblInd w:w="0" w:type="dxa"/>
      <w:tblLayout w:type="fixed"/>
      <w:tblCellMar>
        <w:top w:w="0" w:type="dxa"/>
        <w:start w:w="108" w:type="dxa"/>
        <w:bottom w:w="0" w:type="dxa"/>
        <w:end w:w="108" w:type="dxa"/>
      </w:tblCellMar>
    </w:tblPr>
    <w:tblGrid>
      <w:gridCol w:w="2160"/>
      <w:gridCol w:w="5110"/>
      <w:gridCol w:w="2160"/>
    </w:tblGrid>
    <w:tr>
      <w:trPr>
        <w:trHeight w:val="1180" w:hRule="exact"/>
      </w:trPr>
      <w:tc>
        <w:tcPr>
          <w:tcW w:w="2160" w:type="dxa"/>
          <w:tcBorders/>
        </w:tcPr>
        <w:p>
          <w:pPr>
            <w:pStyle w:val="Letterhead"/>
            <w:snapToGrid w:val="false"/>
            <w:rPr/>
          </w:pPr>
          <w:r>
            <w:rPr/>
          </w:r>
        </w:p>
      </w:tc>
      <w:tc>
        <w:tcPr>
          <w:tcW w:w="5110" w:type="dxa"/>
          <w:tcBorders/>
        </w:tcPr>
        <w:p>
          <w:pPr>
            <w:pStyle w:val="Letterhead"/>
            <w:snapToGrid w:val="false"/>
            <w:jc w:val="center"/>
            <w:rPr/>
          </w:pPr>
          <w:r>
            <w:rPr/>
          </w:r>
        </w:p>
      </w:tc>
      <w:tc>
        <w:tcPr>
          <w:tcW w:w="2160" w:type="dxa"/>
          <w:tcBorders/>
        </w:tcPr>
        <w:p>
          <w:pPr>
            <w:pStyle w:val="Letterhead"/>
            <w:snapToGrid w:val="false"/>
            <w:rPr>
              <w:kern w:val="2"/>
            </w:rPr>
          </w:pPr>
          <w:r>
            <w:rPr>
              <w:kern w:val="2"/>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24"/>
    </w:rPr>
  </w:style>
  <w:style w:type="paragraph" w:styleId="Header">
    <w:name w:val="header"/>
    <w:basedOn w:val="Normal"/>
    <w:pPr>
      <w:tabs>
        <w:tab w:val="clear" w:pos="720"/>
        <w:tab w:val="center" w:pos="4680" w:leader="none"/>
      </w:tabs>
    </w:pPr>
    <w:rPr>
      <w:sz w:val="24"/>
    </w:rPr>
  </w:style>
  <w:style w:type="paragraph" w:styleId="LHFirmName">
    <w:name w:val="LH Firm Name"/>
    <w:basedOn w:val="Normal"/>
    <w:qFormat/>
    <w:pPr/>
    <w:rPr>
      <w:sz w:val="24"/>
    </w:rPr>
  </w:style>
  <w:style w:type="paragraph" w:styleId="Address">
    <w:name w:val="Address"/>
    <w:basedOn w:val="Normal"/>
    <w:qFormat/>
    <w:pPr/>
    <w:rPr>
      <w:sz w:val="24"/>
    </w:rPr>
  </w:style>
  <w:style w:type="paragraph" w:styleId="LetterSignature">
    <w:name w:val="Letter Signature"/>
    <w:basedOn w:val="Normal"/>
    <w:qFormat/>
    <w:pPr>
      <w:keepNext w:val="true"/>
      <w:keepLines/>
      <w:ind w:hanging="0" w:start="5760" w:end="0"/>
    </w:pPr>
    <w:rPr>
      <w:sz w:val="24"/>
    </w:rPr>
  </w:style>
  <w:style w:type="paragraph" w:styleId="ReLine">
    <w:name w:val="ReLine"/>
    <w:basedOn w:val="Normal"/>
    <w:next w:val="Normal"/>
    <w:qFormat/>
    <w:pPr>
      <w:spacing w:before="240" w:after="0"/>
      <w:ind w:hanging="720" w:start="1440" w:end="0"/>
    </w:pPr>
    <w:rPr>
      <w:sz w:val="24"/>
    </w:rPr>
  </w:style>
  <w:style w:type="paragraph" w:styleId="Salutation">
    <w:name w:val="Salutation"/>
    <w:basedOn w:val="Normal"/>
    <w:next w:val="BodyText"/>
    <w:qFormat/>
    <w:pPr>
      <w:spacing w:before="240" w:after="240"/>
    </w:pPr>
    <w:rPr>
      <w:sz w:val="24"/>
    </w:rPr>
  </w:style>
  <w:style w:type="paragraph" w:styleId="Letterhead">
    <w:name w:val="Letterhead"/>
    <w:qFormat/>
    <w:pPr>
      <w:widowControl/>
      <w:tabs>
        <w:tab w:val="clear" w:pos="720"/>
        <w:tab w:val="center" w:pos="1886" w:leader="none"/>
      </w:tabs>
      <w:bidi w:val="0"/>
    </w:pPr>
    <w:rPr>
      <w:rFonts w:ascii="Book Antiqua" w:hAnsi="Book Antiqua" w:eastAsia="Times New Roman" w:cs="Book Antiqua"/>
      <w:color w:val="auto"/>
      <w:sz w:val="17"/>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2001-02-14T16:22:00Z</dcterms:created>
  <dc:creator>Governmental Advocates, Inc.</dc:creator>
  <dc:description/>
  <dc:language>en-CA</dc:language>
  <cp:lastModifiedBy>Governmental Advocates, Inc.</cp:lastModifiedBy>
  <cp:lastPrinted>2001-02-15T11:05:00Z</cp:lastPrinted>
  <dcterms:modified xsi:type="dcterms:W3CDTF">2001-02-20T10:30:00Z</dcterms:modified>
  <cp:revision>11</cp:revision>
  <dc:subject/>
  <dc:title>February 13, 2001</dc:title>
</cp:coreProperties>
</file>