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b/>
          <w:color w:val="auto"/>
        </w:rPr>
      </w:pPr>
      <w:r>
        <w:rPr>
          <w:b/>
          <w:color w:val="auto"/>
        </w:rPr>
        <w:t>AMENDMENTS TO SBX – 27</w:t>
      </w:r>
    </w:p>
    <w:p>
      <w:pPr>
        <w:pStyle w:val="BodyText"/>
        <w:rPr>
          <w:b/>
          <w:color w:val="auto"/>
        </w:rPr>
      </w:pPr>
      <w:r>
        <w:rPr>
          <w:b/>
          <w:color w:val="auto"/>
        </w:rPr>
      </w:r>
    </w:p>
    <w:p>
      <w:pPr>
        <w:pStyle w:val="BodyText"/>
        <w:rPr>
          <w:b/>
          <w:color w:val="auto"/>
        </w:rPr>
      </w:pPr>
      <w:r>
        <w:rPr>
          <w:b/>
          <w:color w:val="auto"/>
        </w:rPr>
      </w:r>
    </w:p>
    <w:p>
      <w:pPr>
        <w:pStyle w:val="BodyText"/>
        <w:rPr>
          <w:color w:val="auto"/>
        </w:rPr>
      </w:pPr>
      <w:r>
        <w:rPr>
          <w:color w:val="auto"/>
        </w:rPr>
        <w:t>Strike from Water Code Section 80110:</w:t>
      </w:r>
    </w:p>
    <w:p>
      <w:pPr>
        <w:pStyle w:val="Normal"/>
        <w:autoSpaceDE w:val="false"/>
        <w:rPr>
          <w:color w:val="auto"/>
        </w:rPr>
      </w:pPr>
      <w:r>
        <w:rPr>
          <w:color w:val="auto"/>
        </w:rPr>
      </w:r>
    </w:p>
    <w:p>
      <w:pPr>
        <w:pStyle w:val="BodyText"/>
        <w:rPr>
          <w:color w:val="auto"/>
        </w:rPr>
      </w:pPr>
      <w:del w:id="0" w:author="Aaron Thomas" w:date="2001-01-30T22:15:00Z">
        <w:r>
          <w:rPr>
            <w:color w:val="auto"/>
          </w:rPr>
          <w:delText>After the passage of such period of time after the effective date of this section as shall be determined by the commission, the right of retail end use customers pursuant to Article 6 (commencing with Section 360) of Chapter 2.3 of Part 1 of Division 1 of the Public Utilities Code to be served by other providers shall be suspended until the department no lo</w:delText>
        </w:r>
      </w:del>
      <w:del w:id="1" w:author="Aaron Thomas" w:date="2001-02-08T14:00:00Z">
        <w:r>
          <w:rPr>
            <w:color w:val="auto"/>
          </w:rPr>
          <w:delText xml:space="preserve">nger supplies power hereunder. </w:delText>
        </w:r>
      </w:del>
    </w:p>
    <w:p>
      <w:pPr>
        <w:pStyle w:val="Normal"/>
        <w:autoSpaceDE w:val="false"/>
        <w:rPr>
          <w:color w:val="auto"/>
        </w:rPr>
      </w:pPr>
      <w:r>
        <w:rPr>
          <w:color w:val="auto"/>
        </w:rPr>
      </w:r>
    </w:p>
    <w:p>
      <w:pPr>
        <w:pStyle w:val="BodyText"/>
        <w:rPr>
          <w:color w:val="auto"/>
        </w:rPr>
      </w:pPr>
      <w:r>
        <w:rPr>
          <w:color w:val="auto"/>
        </w:rPr>
        <w:t>Add to the Water Code Section 80111, to read:</w:t>
      </w:r>
    </w:p>
    <w:p>
      <w:pPr>
        <w:pStyle w:val="Normal"/>
        <w:autoSpaceDE w:val="false"/>
        <w:rPr>
          <w:color w:val="auto"/>
        </w:rPr>
      </w:pPr>
      <w:r>
        <w:rPr>
          <w:color w:val="auto"/>
        </w:rPr>
      </w:r>
    </w:p>
    <w:p>
      <w:pPr>
        <w:pStyle w:val="Normal"/>
        <w:autoSpaceDE w:val="false"/>
        <w:rPr/>
      </w:pPr>
      <w:r>
        <w:rPr/>
        <w:t>80111 (a)   As used in this section, the following terms have the following meanings:</w:t>
      </w:r>
    </w:p>
    <w:p>
      <w:pPr>
        <w:pStyle w:val="Normal"/>
        <w:autoSpaceDE w:val="false"/>
        <w:rPr/>
      </w:pPr>
      <w:r>
        <w:rPr/>
      </w:r>
    </w:p>
    <w:p>
      <w:pPr>
        <w:pStyle w:val="Normal"/>
        <w:autoSpaceDE w:val="false"/>
        <w:rPr/>
      </w:pPr>
      <w:r>
        <w:rPr/>
        <w:t xml:space="preserve">(1)  </w:t>
        <w:tab/>
        <w:t>“Electrical corporation” means an electrical corporation, as defined in Section 218 of the Public Utilities Code, for customers of which the department is procuring power pursuant to this division.</w:t>
      </w:r>
    </w:p>
    <w:p>
      <w:pPr>
        <w:pStyle w:val="Normal"/>
        <w:autoSpaceDE w:val="false"/>
        <w:rPr/>
      </w:pPr>
      <w:r>
        <w:rPr/>
      </w:r>
    </w:p>
    <w:p>
      <w:pPr>
        <w:pStyle w:val="Normal"/>
        <w:autoSpaceDE w:val="false"/>
        <w:rPr/>
      </w:pPr>
      <w:r>
        <w:rPr/>
        <w:t xml:space="preserve">(2) </w:t>
        <w:tab/>
        <w:t>“Alternate provider” means an entity, other than an electrical corporation, supplying electrical power within the service territory of an electrical corporation.</w:t>
      </w:r>
    </w:p>
    <w:p>
      <w:pPr>
        <w:pStyle w:val="Normal"/>
        <w:autoSpaceDE w:val="false"/>
        <w:rPr/>
      </w:pPr>
      <w:r>
        <w:rPr/>
      </w:r>
    </w:p>
    <w:p>
      <w:pPr>
        <w:pStyle w:val="Header"/>
        <w:numPr>
          <w:ilvl w:val="0"/>
          <w:numId w:val="1"/>
        </w:numPr>
        <w:tabs>
          <w:tab w:val="clear" w:pos="4320"/>
          <w:tab w:val="clear" w:pos="8640"/>
          <w:tab w:val="left" w:pos="0" w:leader="none"/>
        </w:tabs>
        <w:autoSpaceDE w:val="false"/>
        <w:ind w:hanging="0" w:start="0" w:end="0"/>
        <w:rPr/>
      </w:pPr>
      <w:r>
        <w:rPr/>
        <w:t xml:space="preserve"> “</w:t>
      </w:r>
      <w:r>
        <w:rPr/>
        <w:t xml:space="preserve">Long term power purchase contracts” means a contract to purchase electric energy with a term equal to or greater than one year. </w:t>
      </w:r>
    </w:p>
    <w:p>
      <w:pPr>
        <w:pStyle w:val="Normal"/>
        <w:autoSpaceDE w:val="false"/>
        <w:rPr/>
      </w:pPr>
      <w:r>
        <w:rPr/>
      </w:r>
    </w:p>
    <w:p>
      <w:pPr>
        <w:pStyle w:val="Header"/>
        <w:numPr>
          <w:ilvl w:val="0"/>
          <w:numId w:val="1"/>
        </w:numPr>
        <w:tabs>
          <w:tab w:val="clear" w:pos="4320"/>
          <w:tab w:val="clear" w:pos="8640"/>
          <w:tab w:val="left" w:pos="0" w:leader="none"/>
        </w:tabs>
        <w:autoSpaceDE w:val="false"/>
        <w:ind w:hanging="0" w:start="0" w:end="0"/>
        <w:rPr/>
      </w:pPr>
      <w:r>
        <w:rPr/>
        <w:t xml:space="preserve"> “</w:t>
      </w:r>
      <w:r>
        <w:rPr/>
        <w:t>Small commercial customer” means those customers classified as small commercial customers by an electrical corporation within its service territory according to commission approved tariffs.</w:t>
      </w:r>
    </w:p>
    <w:p>
      <w:pPr>
        <w:pStyle w:val="Normal"/>
        <w:autoSpaceDE w:val="false"/>
        <w:rPr/>
      </w:pPr>
      <w:r>
        <w:rPr/>
      </w:r>
    </w:p>
    <w:p>
      <w:pPr>
        <w:pStyle w:val="Normal"/>
        <w:autoSpaceDE w:val="false"/>
        <w:rPr/>
      </w:pPr>
      <w:r>
        <w:rPr/>
        <w:t>(b)  The right of a retail end use customer who has not purchased power from an electrical corporation on or after January 17, 2001 to purchase power from an alternate provider may not be limited by this section.</w:t>
      </w:r>
    </w:p>
    <w:p>
      <w:pPr>
        <w:pStyle w:val="Normal"/>
        <w:autoSpaceDE w:val="false"/>
        <w:rPr/>
      </w:pPr>
      <w:r>
        <w:rPr/>
      </w:r>
    </w:p>
    <w:p>
      <w:pPr>
        <w:pStyle w:val="Normal"/>
        <w:autoSpaceDE w:val="false"/>
        <w:rPr/>
      </w:pPr>
      <w:r>
        <w:rPr/>
        <w:t xml:space="preserve">(c)  Before October 1, 2001, the right of a retail end use customer who purchases power from an electrical corporation to purchase power from an alternate provider may not be limited pursuant to subdivision (e).  This date may be extended at the option of the department to the extent that it determines that it would assist in avoiding the imposition of additional costs on other customers of an electrical corporation or the state. </w:t>
      </w:r>
    </w:p>
    <w:p>
      <w:pPr>
        <w:pStyle w:val="Normal"/>
        <w:autoSpaceDE w:val="false"/>
        <w:rPr/>
      </w:pPr>
      <w:r>
        <w:rPr/>
      </w:r>
    </w:p>
    <w:p>
      <w:pPr>
        <w:pStyle w:val="Normal"/>
        <w:autoSpaceDE w:val="false"/>
        <w:rPr/>
      </w:pPr>
      <w:r>
        <w:rPr/>
        <w:t>(d) Any retail end use customer purchasing power from an electrical corporation on or after January 17, 2001 who elects to purchase power from an alternate provider shall pay their proportionate share of the costs directly related to the purchase of electricity energy or capacity for which the department has been unable to obtain or accrue revenues as of the date the customer ceases to purchase power from the electrical corporation.   A retail end use customer purchasing power from an alternate provider shall not pay any portion of the cost of purchasing power or related financing incurred by the department except as set forth herein in subdivisions (d), (e), and (i) herein.</w:t>
      </w:r>
    </w:p>
    <w:p>
      <w:pPr>
        <w:pStyle w:val="Normal"/>
        <w:autoSpaceDE w:val="false"/>
        <w:rPr/>
      </w:pPr>
      <w:r>
        <w:rPr/>
      </w:r>
    </w:p>
    <w:p>
      <w:pPr>
        <w:pStyle w:val="Normal"/>
        <w:autoSpaceDE w:val="false"/>
        <w:rPr/>
      </w:pPr>
      <w:r>
        <w:rPr/>
        <w:t>(e)  On or after October 1, 2001 or such later date as is determined by the department, a retail end use customer may elect service from an alternate provider at any time, upon payment of a fee to the department equivalent to the department’s net unavoidable cost of power procurement, including any financing costs, directly attributable to that customer, as determined by the department, unless one of the following exceptions applies.</w:t>
      </w:r>
    </w:p>
    <w:p>
      <w:pPr>
        <w:pStyle w:val="Normal"/>
        <w:autoSpaceDE w:val="false"/>
        <w:rPr/>
      </w:pPr>
      <w:r>
        <w:rPr/>
      </w:r>
    </w:p>
    <w:p>
      <w:pPr>
        <w:pStyle w:val="Normal"/>
        <w:autoSpaceDE w:val="false"/>
        <w:rPr/>
      </w:pPr>
      <w:r>
        <w:rPr/>
        <w:t>(1)   The right of a residential or small commercial customers, or multiple residential and small commercial customers aggregated pursuant to Section 366 of the Public Utilities Code, to purchase power from an alternate provider my not be limited to the extent the total load served within the service territory of the electrical corporation by alternate providers is less than or equal to 5% of the total residential and small commercial customer load within the service territory of the electrical corporation on and after October 1, 2001, which quantity of load shall be increased by 2% of the total residential and small commercial customer load each succeeding year, as recorded by the electric corporation and reported to the department and the commission.</w:t>
      </w:r>
    </w:p>
    <w:p>
      <w:pPr>
        <w:pStyle w:val="Normal"/>
        <w:autoSpaceDE w:val="false"/>
        <w:rPr/>
      </w:pPr>
      <w:r>
        <w:rPr/>
      </w:r>
    </w:p>
    <w:p>
      <w:pPr>
        <w:pStyle w:val="Normal"/>
        <w:autoSpaceDE w:val="false"/>
        <w:rPr/>
      </w:pPr>
      <w:r>
        <w:rPr/>
        <w:t xml:space="preserve">(2)  The right of a retail end use customer, not a residential or small commercial customer,  to purchase power from an alternate provider may not be limited to the extent the total load served within the service territory of the electrical corporation by alternate providers is less than or equal to the difference between the total load within the service territory of the electrical corporation and the sum of the electrical corporation’s retained generation, long term power purchase contracts, and long term power purchase contracts procured by the department to serve that electrical corporation’s customers, as recorded by the electric corporation and reported to the department and the commission.  In determining the difference between the total load served by the electrical corporation and the load provided by retained generation and long term contracts, the commission shall consider daily, weekly, and seasonal variations in demand and supply and significant changes in the power purchase obligations of the department.  </w:t>
      </w:r>
    </w:p>
    <w:p>
      <w:pPr>
        <w:pStyle w:val="Normal"/>
        <w:autoSpaceDE w:val="false"/>
        <w:rPr/>
      </w:pPr>
      <w:r>
        <w:rPr/>
      </w:r>
    </w:p>
    <w:p>
      <w:pPr>
        <w:pStyle w:val="Normal"/>
        <w:autoSpaceDE w:val="false"/>
        <w:rPr/>
      </w:pPr>
      <w:r>
        <w:rPr/>
        <w:t>(f)   The right of any retail end use customer purchasing power from an electrical corporation on or after January 17, 2001 who elects thereafter to purchase power from an alternative provider under the exceptions set forth in subdivisions (e)(1) and (e)(2) above shall be determined on a first-come, first-served basis, as of the date that the customer or the customer’s alternate provider delivers written or electronic notice of the intent to elect an alternative provider to the electrical corporation.</w:t>
      </w:r>
    </w:p>
    <w:p>
      <w:pPr>
        <w:pStyle w:val="Normal"/>
        <w:autoSpaceDE w:val="false"/>
        <w:rPr/>
      </w:pPr>
      <w:r>
        <w:rPr/>
      </w:r>
    </w:p>
    <w:p>
      <w:pPr>
        <w:pStyle w:val="Normal"/>
        <w:autoSpaceDE w:val="false"/>
        <w:rPr/>
      </w:pPr>
      <w:r>
        <w:rPr/>
        <w:t>(g)   The department shall provide public notice of long term contracts, including their price, quantity and term within 15 days after entering into such contracts, and shall, at the beginning of each calendar quarter, provide public notice of all long term power contracts which will expire or commence during such quarter.  Upon the publication of such notification, if during the next calendar quarter the changes in the long term power contracts entered into by the department will increase the quantity of customer load which may elect service from an alternate provider without an exit fee, pursuant to subdivision (e)(2), customers shall be provided a reasonable opportunity to exercise such additional rights to elect service from an alternate provider under the provisions of subdivision (e)(2) by providing reasonable notice to the department under such procedures as it may determine.</w:t>
      </w:r>
    </w:p>
    <w:p>
      <w:pPr>
        <w:pStyle w:val="Normal"/>
        <w:tabs>
          <w:tab w:val="clear" w:pos="720"/>
          <w:tab w:val="left" w:pos="0" w:leader="none"/>
          <w:tab w:val="left" w:pos="540" w:leader="none"/>
        </w:tabs>
        <w:autoSpaceDE w:val="false"/>
        <w:rPr/>
      </w:pPr>
      <w:r>
        <w:rPr/>
      </w:r>
    </w:p>
    <w:p>
      <w:pPr>
        <w:pStyle w:val="Header"/>
        <w:numPr>
          <w:ilvl w:val="0"/>
          <w:numId w:val="2"/>
        </w:numPr>
        <w:tabs>
          <w:tab w:val="clear" w:pos="4320"/>
          <w:tab w:val="clear" w:pos="8640"/>
          <w:tab w:val="left" w:pos="0" w:leader="none"/>
          <w:tab w:val="left" w:pos="540" w:leader="none"/>
        </w:tabs>
        <w:autoSpaceDE w:val="false"/>
        <w:ind w:hanging="0" w:start="0" w:end="0"/>
        <w:rPr/>
      </w:pPr>
      <w:r>
        <w:rPr/>
        <w:t>Any retail end use customer with a demand in excess of 100 kilowatts purchasing power from an electrical corporation shall provide notice to the department and the electrical corporation of its intent to purchase power from an alternate supplier within 15 days after executing a contract to do so.  Any retail end use customer with a demand in excess of 100 kilowatts purchasing power from an alternate supplier shall provide the department and the affected electrical corporation of notice of its intent to purchase power from the electrical corporation no less than 30 days prior to the expiration or termination of its contract for power from an alternate supplier.</w:t>
      </w:r>
    </w:p>
    <w:p>
      <w:pPr>
        <w:pStyle w:val="Normal"/>
        <w:autoSpaceDE w:val="false"/>
        <w:rPr/>
      </w:pPr>
      <w:r>
        <w:rPr/>
      </w:r>
    </w:p>
    <w:p>
      <w:pPr>
        <w:pStyle w:val="Normal"/>
        <w:autoSpaceDE w:val="false"/>
        <w:rPr/>
      </w:pPr>
      <w:r>
        <w:rPr/>
        <w:t>(i)   On or after October 1, 2001 or such later date as is determined by the department, if a retail end use customer previously served by an alternate provider acquires service from an electrical corporation, the department may impose a fee equivalent to the net unavoidable costs imposed on the department directly attributable to providing service to that customer, as determined by the department, if such fee is necessary to avoid imposing additional costs on other customers of the electrical corporation or on the state.</w:t>
      </w:r>
    </w:p>
    <w:p>
      <w:pPr>
        <w:pStyle w:val="Normal"/>
        <w:autoSpaceDE w:val="false"/>
        <w:rPr/>
      </w:pPr>
      <w:r>
        <w:rPr/>
      </w:r>
    </w:p>
    <w:p>
      <w:pPr>
        <w:pStyle w:val="Normal"/>
        <w:autoSpaceDE w:val="false"/>
        <w:rPr/>
      </w:pPr>
      <w:r>
        <w:rPr/>
        <w:t xml:space="preserve">(j)   For purposes of this section, where the department is permitted to charge a fee to a retail end use customer which is terminating or reestablishing the purchasing of electrical power from an electrical corporation, the department shall no later than June 1, 2000 publicly post the applicable fees, and/or their method of calculation, modifying them as necessary, and shall permit a customer subject to the imposition of a fee to elect payment of the fee in a single lump sum or upon a reasonable payment schedule, with interest, as determined by the department. </w:t>
      </w:r>
    </w:p>
    <w:p>
      <w:pPr>
        <w:pStyle w:val="Normal"/>
        <w:autoSpaceDE w:val="false"/>
        <w:rPr/>
      </w:pPr>
      <w:r>
        <w:rPr/>
      </w:r>
    </w:p>
    <w:p>
      <w:pPr>
        <w:pStyle w:val="Normal"/>
        <w:autoSpaceDE w:val="false"/>
        <w:rPr/>
      </w:pPr>
      <w:r>
        <w:rPr/>
        <w:t>(k)   The commission shall require notification of each electrical corporation customer no later than May 1, 2001, of their limited option to choose between purchasing power from the electrical corporation and purchasing power from an alternate provider.  The notification shall include a description of the potential conditions on the purchasing of power from an alternate provider imposed by this section in the event that the customer elects to purchase power from the electrical corporation on or after October 1, 2001.</w:t>
      </w:r>
    </w:p>
    <w:sectPr>
      <w:type w:val="nextPage"/>
      <w:pgSz w:w="12240" w:h="15840"/>
      <w:pgMar w:left="1728" w:right="1728"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decimal"/>
      <w:lvlText w:val="(%1)"/>
      <w:lvlJc w:val="start"/>
      <w:pPr>
        <w:tabs>
          <w:tab w:val="num" w:pos="405"/>
        </w:tabs>
        <w:ind w:start="405" w:hanging="405"/>
      </w:pPr>
      <w:rPr/>
    </w:lvl>
  </w:abstractNum>
  <w:abstractNum w:abstractNumId="2">
    <w:lvl w:ilvl="0">
      <w:start w:val="8"/>
      <w:numFmt w:val="lowerLetter"/>
      <w:lvlText w:val="(%1)"/>
      <w:lvlJc w:val="start"/>
      <w:pPr>
        <w:tabs>
          <w:tab w:val="num" w:pos="360"/>
        </w:tabs>
        <w:ind w:start="360" w:hanging="36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iTrailerType" w:val="2"/>
    <w:docVar w:name="zzmpFixedDOC_ID" w:val="2704/138/X22480-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pPr>
    <w:rPr>
      <w:color w:val="00008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2001-03-06T22:01:00Z</dcterms:created>
  <dc:creator>Aaron Thomas</dc:creator>
  <dc:description/>
  <dc:language>en-CA</dc:language>
  <cp:lastModifiedBy>Ron Tom</cp:lastModifiedBy>
  <cp:lastPrinted>2001-03-06T16:31:00Z</cp:lastPrinted>
  <dcterms:modified xsi:type="dcterms:W3CDTF">2001-03-06T22:11:00Z</dcterms:modified>
  <cp:revision>3</cp:revision>
  <dc:subject/>
  <dc:title>AMENDMENTS TO SBX – 27</dc:title>
</cp:coreProperties>
</file>