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b/>
        </w:rPr>
        <w:t>SB 28x (Sher) as amended April 23</w:t>
      </w:r>
      <w:r>
        <w:rPr>
          <w:b/>
          <w:vertAlign w:val="superscript"/>
        </w:rPr>
        <w:t>rd</w:t>
      </w:r>
      <w:r>
        <w:rPr>
          <w:b/>
        </w:rPr>
        <w:t>, 2001</w:t>
      </w:r>
    </w:p>
    <w:p>
      <w:pPr>
        <w:pStyle w:val="Normal"/>
        <w:rPr>
          <w:rFonts w:ascii="Arial" w:hAnsi="Arial" w:cs="Arial"/>
          <w:b/>
        </w:rPr>
      </w:pPr>
      <w:r>
        <w:rPr>
          <w:rFonts w:cs="Arial" w:ascii="Arial" w:hAnsi="Arial"/>
          <w:b/>
        </w:rPr>
      </w:r>
    </w:p>
    <w:tbl>
      <w:tblPr>
        <w:tblW w:w="9918" w:type="dxa"/>
        <w:jc w:val="start"/>
        <w:tblInd w:w="0" w:type="dxa"/>
        <w:tblLayout w:type="fixed"/>
        <w:tblCellMar>
          <w:top w:w="0" w:type="dxa"/>
          <w:start w:w="108" w:type="dxa"/>
          <w:bottom w:w="0" w:type="dxa"/>
          <w:end w:w="108" w:type="dxa"/>
        </w:tblCellMar>
      </w:tblPr>
      <w:tblGrid>
        <w:gridCol w:w="1638"/>
        <w:gridCol w:w="828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Summary</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 Directs CARB to implement an expedited statewide program for identifying and banking emission reduction credits for power plants and natural gas transmission facilities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Directs CARB to establish a schedule, on or before 7/1/02, for the retrofit of generating facilities consistent with existing requirements.  The schedule should require completion by 12/31/04, or later if deemed necessary for electric system reliability.</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2:</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Directs local air districts to adopt an expedited program for permitting DG, geothermal facilities, including wells and natural gas transmission facilities in compliance with air quality standards.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3:</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Authorizes payment to air districts of mitigation fees for a new power plant in lieu of obtaining actual emissions offsets, when the owner or operator of the plant has shown that offsets are not available. Mitigation fees are to be used first to secure emission reductions from comparable stationary sources.  Sunsets 1/1/04 (Intergen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4:</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Requires the CEC, in its final report on a power plant application, to address whether increased property taxes due to construction of the project are sufficient to support local improvements and public services necessary to serve the project. (Brulte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5:</w:t>
            </w:r>
          </w:p>
          <w:p>
            <w:pPr>
              <w:pStyle w:val="Normal"/>
              <w:rPr>
                <w:rFonts w:ascii="Arial" w:hAnsi="Arial" w:eastAsia="Arial" w:cs="Arial"/>
              </w:rPr>
            </w:pPr>
            <w:r>
              <w:rPr>
                <w:rFonts w:eastAsia="Arial" w:cs="Arial" w:ascii="Arial" w:hAnsi="Arial"/>
              </w:rPr>
              <w:t xml:space="preserve"> </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Improves the timeliness and coordination of state and local agency review by limiting to 45 days and 100 days a local jurisdiction's time for initial review and final review, respectively, of an application submitted to the CEC for a power plant project. (IEP language) Sunsets 1/1/04.  At the request of the League of California Cities, also clarifies that this section is not intended limit a local government’s right to comment on an application. </w:t>
            </w:r>
          </w:p>
        </w:tc>
      </w:tr>
      <w:tr>
        <w:trPr>
          <w:trHeight w:val="359" w:hRule="atLeast"/>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rPr>
              <w:t>Section 6</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Gives the CEC discretion to substitute CEQA-style hearings for the trail-like proceedings of the CEC. (Calpine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7:</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Requires the CEC, in its written decisions after public hearings on an application, to give consideration to the positive environmental impacts of a proposed project. (IEP language)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Conforms the CEC siting process with local air districts on the timing of acquiring emission reduction credits by requiring, as a condition of certification, that an applicant obtain any required emission offsets prior to the commencement of operation of the proposed facility. (IEP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rPr>
              <w:t>Section 8:</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Directs appeals to the CEC siting decision directly to the Supreme Court. (IEP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9:</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Streamlines the permit process for the modernization of existing power plant sites by permitting repower projects, as defined, to apply for the 6-month expedited process established in AB 970 (2000).  Defines a “repower” project as one that will not cause a significant adverse impact on the environment or the electrical system, is located within the boundaries of an existing power plant and will not require significant additional rights-of-way for transmission or fueling, and will significantly and substantially increase the efficiency of the project, on a per kilowatt-hour basis. Sunsets 1/1/04 (IEP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10:</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Extends the current deadlines for the expedited review for “peaker” plants and expands the application to consider re-certification or replacement. (author’s language)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11:</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Waives conditionally, for a period of 10 years, standby charges imposed by electrical corporations on customers who have installed non-gas-fired distributed generation equipment five megawatts or smaller that commence operation by 9/1/02. Provides that the waiver for gas-fired units shall only apply until 6/1/06.</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12-13:</w:t>
            </w:r>
          </w:p>
          <w:p>
            <w:pPr>
              <w:pStyle w:val="Normal"/>
              <w:rPr>
                <w:rFonts w:ascii="Arial" w:hAnsi="Arial" w:cs="Arial"/>
                <w:b/>
              </w:rPr>
            </w:pPr>
            <w:r>
              <w:rPr>
                <w:rFonts w:cs="Arial" w:ascii="Arial" w:hAnsi="Arial"/>
                <w:b/>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Requires workers, unemployed in any week as a result of unscheduled power outages resulting from lack of supply, to be paid an unemployment compensation benefit. In addition, unemployment insurance benefits paid to a claimant who was unemployed as a result of such outages are prohibited from being charged to the account of the employer. </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14:</w:t>
            </w:r>
          </w:p>
          <w:p>
            <w:pPr>
              <w:pStyle w:val="Normal"/>
              <w:rPr>
                <w:rFonts w:ascii="Arial" w:hAnsi="Arial" w:eastAsia="Arial" w:cs="Arial"/>
              </w:rPr>
            </w:pPr>
            <w:r>
              <w:rPr>
                <w:rFonts w:eastAsia="Arial" w:cs="Arial" w:ascii="Arial" w:hAnsi="Arial"/>
              </w:rPr>
              <w:t xml:space="preserve"> </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 Permits a gas corporation, until 6/1/02, to exercise the power of eminent domain to condemn any property for the purpose of competing with another entity in the offering of natural gas and services related to natural gas.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Prohibits the CPUC, until 6/1/02, from making a finding on a petition or complaint filed pursuant to Section 625 of the Public Utilities Code, and requires CPUC to dismiss the petition or complaint.</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Section 15:</w:t>
            </w:r>
          </w:p>
          <w:p>
            <w:pPr>
              <w:pStyle w:val="Normal"/>
              <w:rPr>
                <w:rFonts w:ascii="Arial" w:hAnsi="Arial" w:eastAsia="Arial" w:cs="Arial"/>
              </w:rPr>
            </w:pPr>
            <w:r>
              <w:rPr>
                <w:rFonts w:eastAsia="Arial" w:cs="Arial" w:ascii="Arial" w:hAnsi="Arial"/>
              </w:rPr>
              <w:t xml:space="preserve"> </w:t>
            </w:r>
          </w:p>
        </w:tc>
        <w:tc>
          <w:tcPr>
            <w:tcW w:w="8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Appropriates $3 million to the CEC to provide assistance to cities and counties to expedite the review and analysis of applications for electric generating facilities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Appropriates up to $250,000 to the CEC to study, in consultation with the Orange County Sanitation District, remedies to mitigate the effect of shoreline water consumption in Huntington Beach.</w:t>
            </w:r>
          </w:p>
        </w:tc>
      </w:tr>
    </w:tbl>
    <w:p>
      <w:pPr>
        <w:pStyle w:val="Normal"/>
        <w:jc w:val="both"/>
        <w:rPr/>
      </w:pPr>
      <w:r>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2001-05-08T17:53:00Z</dcterms:created>
  <dc:creator>J Malinowski-Ball</dc:creator>
  <dc:description/>
  <dc:language>en-CA</dc:language>
  <cp:lastModifiedBy>J Malinowski-Ball</cp:lastModifiedBy>
  <cp:lastPrinted>2001-04-18T14:03:00Z</cp:lastPrinted>
  <dcterms:modified xsi:type="dcterms:W3CDTF">2001-05-08T20:44:00Z</dcterms:modified>
  <cp:revision>3</cp:revision>
  <dc:subject/>
  <dc:title>Sher:</dc:title>
</cp:coreProperties>
</file>