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Times New Roman" w:hAnsi="Times New Roman" w:cs="Times New Roman"/>
          <w:b/>
          <w:sz w:val="20"/>
        </w:rPr>
      </w:pPr>
      <w:r>
        <w:rPr>
          <w:rFonts w:cs="Times New Roman" w:ascii="Times New Roman" w:hAnsi="Times New Roman"/>
          <w:b/>
          <w:sz w:val="20"/>
        </w:rPr>
        <w:t>Gas Supply Term Sheet</w:t>
      </w:r>
    </w:p>
    <w:p>
      <w:pPr>
        <w:pStyle w:val="BodyText"/>
        <w:jc w:val="center"/>
        <w:rPr>
          <w:rFonts w:ascii="Times New Roman" w:hAnsi="Times New Roman" w:cs="Times New Roman"/>
          <w:b/>
          <w:sz w:val="20"/>
        </w:rPr>
      </w:pPr>
      <w:r>
        <w:rPr>
          <w:rFonts w:cs="Times New Roman" w:ascii="Times New Roman" w:hAnsi="Times New Roman"/>
          <w:b/>
          <w:sz w:val="20"/>
        </w:rPr>
        <w:t>May 23, 2001</w:t>
      </w:r>
    </w:p>
    <w:p>
      <w:pPr>
        <w:pStyle w:val="BodyText"/>
        <w:jc w:val="center"/>
        <w:rPr>
          <w:rFonts w:ascii="Times New Roman" w:hAnsi="Times New Roman" w:cs="Times New Roman"/>
          <w:b/>
          <w:sz w:val="20"/>
        </w:rPr>
      </w:pPr>
      <w:r>
        <w:rPr>
          <w:rFonts w:cs="Times New Roman" w:ascii="Times New Roman" w:hAnsi="Times New Roman"/>
          <w:b/>
          <w:sz w:val="20"/>
        </w:rPr>
      </w:r>
    </w:p>
    <w:p>
      <w:pPr>
        <w:pStyle w:val="BodyText"/>
        <w:rPr/>
      </w:pPr>
      <w:r>
        <w:rPr>
          <w:rFonts w:cs="Times New Roman" w:ascii="Times New Roman" w:hAnsi="Times New Roman"/>
          <w:sz w:val="20"/>
        </w:rPr>
        <w:t xml:space="preserve">I.     </w:t>
      </w:r>
      <w:r>
        <w:rPr>
          <w:rFonts w:cs="Times New Roman" w:ascii="Times New Roman" w:hAnsi="Times New Roman"/>
          <w:b/>
          <w:sz w:val="20"/>
        </w:rPr>
        <w:t>Seller:</w:t>
        <w:tab/>
        <w:t>Enron North America</w:t>
      </w:r>
    </w:p>
    <w:p>
      <w:pPr>
        <w:pStyle w:val="BodyText"/>
        <w:rPr>
          <w:rFonts w:ascii="Times New Roman" w:hAnsi="Times New Roman" w:cs="Times New Roman"/>
          <w:b/>
          <w:sz w:val="20"/>
        </w:rPr>
      </w:pPr>
      <w:r>
        <w:rPr>
          <w:rFonts w:cs="Times New Roman" w:ascii="Times New Roman" w:hAnsi="Times New Roman"/>
          <w:b/>
          <w:sz w:val="20"/>
        </w:rPr>
        <w:t>II.     Buyer:</w:t>
        <w:tab/>
        <w:t>San Juaquin Refining Co., Inc.</w:t>
      </w:r>
    </w:p>
    <w:p>
      <w:pPr>
        <w:pStyle w:val="Heading1"/>
        <w:ind w:hanging="360" w:start="360" w:end="0"/>
        <w:rPr/>
      </w:pPr>
      <w:r>
        <w:rPr/>
        <w:t>III.</w:t>
        <w:tab/>
        <w:t>Term:</w:t>
        <w:tab/>
        <w:t>As indicated below</w:t>
      </w:r>
    </w:p>
    <w:p>
      <w:pPr>
        <w:pStyle w:val="Normal"/>
        <w:rPr/>
      </w:pPr>
      <w:r>
        <w:rPr/>
      </w:r>
    </w:p>
    <w:p>
      <w:pPr>
        <w:pStyle w:val="BodyTextIndent3"/>
        <w:ind w:hanging="1440" w:end="0"/>
        <w:jc w:val="both"/>
        <w:rPr/>
      </w:pPr>
      <w:r>
        <w:rPr>
          <w:rFonts w:cs="Times" w:ascii="Times" w:hAnsi="Times"/>
          <w:b/>
          <w:i w:val="false"/>
          <w:sz w:val="20"/>
        </w:rPr>
        <w:t>VI.  Delivery Point:</w:t>
      </w:r>
      <w:r>
        <w:rPr/>
        <w:tab/>
      </w:r>
      <w:r>
        <w:rPr>
          <w:b/>
          <w:bCs/>
          <w:i w:val="false"/>
          <w:iCs/>
          <w:sz w:val="20"/>
        </w:rPr>
        <w:t xml:space="preserve">Malin or </w:t>
      </w:r>
      <w:r>
        <w:rPr>
          <w:b/>
          <w:bCs/>
          <w:i w:val="false"/>
          <w:sz w:val="20"/>
        </w:rPr>
        <w:t xml:space="preserve">Pacific Gas &amp; Electric City Gate, as specified below  </w:t>
      </w:r>
    </w:p>
    <w:p>
      <w:pPr>
        <w:pStyle w:val="BodyTextIndent3"/>
        <w:ind w:start="0" w:end="0"/>
        <w:rPr>
          <w:b/>
          <w:bCs/>
          <w:i w:val="false"/>
          <w:i w:val="false"/>
          <w:sz w:val="20"/>
        </w:rPr>
      </w:pPr>
      <w:r>
        <w:rPr>
          <w:b/>
          <w:bCs/>
          <w:i w:val="false"/>
          <w:sz w:val="20"/>
        </w:rPr>
      </w:r>
    </w:p>
    <w:p>
      <w:pPr>
        <w:pStyle w:val="BodyTextIndent3"/>
        <w:tabs>
          <w:tab w:val="clear" w:pos="720"/>
          <w:tab w:val="left" w:pos="1440" w:leader="none"/>
        </w:tabs>
        <w:ind w:hanging="1800" w:start="1800" w:end="0"/>
        <w:jc w:val="both"/>
        <w:rPr/>
      </w:pPr>
      <w:r>
        <w:rPr>
          <w:i w:val="false"/>
          <w:iCs/>
          <w:sz w:val="20"/>
        </w:rPr>
        <w:t>V.</w:t>
      </w:r>
      <w:r>
        <w:rPr/>
        <w:t xml:space="preserve"> </w:t>
      </w:r>
      <w:r>
        <w:rPr>
          <w:b/>
          <w:i w:val="false"/>
          <w:sz w:val="20"/>
        </w:rPr>
        <w:t>Quantity:</w:t>
        <w:tab/>
      </w:r>
      <w:r>
        <w:rPr>
          <w:i w:val="false"/>
          <w:sz w:val="20"/>
        </w:rPr>
        <w:t>1.</w:t>
      </w:r>
      <w:r>
        <w:rPr>
          <w:b/>
          <w:i w:val="false"/>
          <w:sz w:val="20"/>
        </w:rPr>
        <w:tab/>
      </w:r>
      <w:r>
        <w:rPr>
          <w:i w:val="false"/>
          <w:sz w:val="20"/>
        </w:rPr>
        <w:t>Seller shall be Buyer’s Authorized Agent as defined by the tariffs of PG&amp;E.  As Buyer’s Authorized Agent, Seller shall pay any Imbalance Charges or penalties resulting from failure to balance Buyer’s usage and Seller’s deliveries, subject to other provisions indicated below.</w:t>
      </w:r>
    </w:p>
    <w:p>
      <w:pPr>
        <w:pStyle w:val="BodyTextIndent3"/>
        <w:numPr>
          <w:ilvl w:val="0"/>
          <w:numId w:val="4"/>
        </w:numPr>
        <w:tabs>
          <w:tab w:val="clear" w:pos="720"/>
          <w:tab w:val="left" w:pos="1440" w:leader="none"/>
        </w:tabs>
        <w:jc w:val="both"/>
        <w:rPr>
          <w:i w:val="false"/>
          <w:i w:val="false"/>
          <w:sz w:val="20"/>
        </w:rPr>
      </w:pPr>
      <w:r>
        <w:rPr>
          <w:i w:val="false"/>
          <w:sz w:val="20"/>
        </w:rPr>
        <w:t>Buyer shall pay for the amount of gas transported by Buyer on the PG&amp;E system as documented by Buyer’s PG&amp;E transportation invoice.</w:t>
      </w:r>
    </w:p>
    <w:p>
      <w:pPr>
        <w:pStyle w:val="BodyTextIndent3"/>
        <w:numPr>
          <w:ilvl w:val="0"/>
          <w:numId w:val="4"/>
        </w:numPr>
        <w:tabs>
          <w:tab w:val="clear" w:pos="720"/>
          <w:tab w:val="left" w:pos="1440" w:leader="none"/>
        </w:tabs>
        <w:jc w:val="both"/>
        <w:rPr>
          <w:i w:val="false"/>
          <w:i w:val="false"/>
          <w:sz w:val="20"/>
        </w:rPr>
      </w:pPr>
      <w:r>
        <w:rPr>
          <w:i w:val="false"/>
          <w:sz w:val="20"/>
        </w:rPr>
        <w:t xml:space="preserve">Buyer will notify Seller five business days before the beginning of the month with its best estimate of its daily demand for the next month.  This estimate will be known as the Baseload Demand Quantity (BDQ). </w:t>
      </w:r>
    </w:p>
    <w:p>
      <w:pPr>
        <w:pStyle w:val="BodyTextIndent3"/>
        <w:numPr>
          <w:ilvl w:val="0"/>
          <w:numId w:val="4"/>
        </w:numPr>
        <w:tabs>
          <w:tab w:val="clear" w:pos="720"/>
          <w:tab w:val="left" w:pos="1440" w:leader="none"/>
        </w:tabs>
        <w:jc w:val="both"/>
        <w:rPr>
          <w:i w:val="false"/>
          <w:i w:val="false"/>
          <w:sz w:val="20"/>
        </w:rPr>
      </w:pPr>
      <w:r>
        <w:rPr>
          <w:i w:val="false"/>
          <w:sz w:val="20"/>
        </w:rPr>
        <w:t>Seller is willing to fix the price for any baseload quantity.  However, any fixed price volumes are considered firm and Buyer is required to take these quantities.</w:t>
      </w:r>
    </w:p>
    <w:p>
      <w:pPr>
        <w:pStyle w:val="Normal"/>
        <w:rPr>
          <w:i/>
          <w:i/>
          <w:iCs/>
          <w:sz w:val="20"/>
        </w:rPr>
      </w:pPr>
      <w:r>
        <w:rPr>
          <w:i/>
          <w:iCs/>
          <w:sz w:val="20"/>
        </w:rPr>
      </w:r>
    </w:p>
    <w:p>
      <w:pPr>
        <w:pStyle w:val="Normal"/>
        <w:numPr>
          <w:ilvl w:val="0"/>
          <w:numId w:val="6"/>
        </w:numPr>
        <w:rPr>
          <w:b/>
        </w:rPr>
      </w:pPr>
      <w:r>
        <w:rPr>
          <w:b/>
        </w:rPr>
        <w:t>OFO Management</w:t>
      </w:r>
    </w:p>
    <w:p>
      <w:pPr>
        <w:pStyle w:val="BodyTextIndent3"/>
        <w:numPr>
          <w:ilvl w:val="0"/>
          <w:numId w:val="5"/>
        </w:numPr>
        <w:jc w:val="both"/>
        <w:rPr>
          <w:i w:val="false"/>
          <w:i w:val="false"/>
          <w:sz w:val="20"/>
        </w:rPr>
      </w:pPr>
      <w:r>
        <w:rPr>
          <w:i w:val="false"/>
          <w:sz w:val="20"/>
        </w:rPr>
        <w:t xml:space="preserve">Seller shall be responsible for notifying Buyer in the event of a PG&amp;E Operational Flow Order (OFO) requiring that daily gas deliveries and usage equal each other within the tolerance permitted by PG&amp;E.  </w:t>
      </w:r>
    </w:p>
    <w:p>
      <w:pPr>
        <w:pStyle w:val="BodyTextIndent3"/>
        <w:numPr>
          <w:ilvl w:val="0"/>
          <w:numId w:val="5"/>
        </w:numPr>
        <w:jc w:val="both"/>
        <w:rPr>
          <w:i w:val="false"/>
          <w:i w:val="false"/>
          <w:sz w:val="20"/>
        </w:rPr>
      </w:pPr>
      <w:r>
        <w:rPr>
          <w:i w:val="false"/>
          <w:sz w:val="20"/>
        </w:rPr>
        <w:t>Buyer shall assign an individual at the plants that Seller can contact 24-hours/day to manage OFO events.</w:t>
      </w:r>
    </w:p>
    <w:p>
      <w:pPr>
        <w:pStyle w:val="BodyTextIndent3"/>
        <w:numPr>
          <w:ilvl w:val="0"/>
          <w:numId w:val="5"/>
        </w:numPr>
        <w:jc w:val="both"/>
        <w:rPr>
          <w:i w:val="false"/>
          <w:i w:val="false"/>
          <w:sz w:val="20"/>
        </w:rPr>
      </w:pPr>
      <w:r>
        <w:rPr>
          <w:i w:val="false"/>
          <w:sz w:val="20"/>
        </w:rPr>
        <w:t xml:space="preserve">Notification shall be by telephone call on Seller’s recorded line noting the date and time of such call.  </w:t>
      </w:r>
    </w:p>
    <w:p>
      <w:pPr>
        <w:pStyle w:val="BodyTextIndent3"/>
        <w:numPr>
          <w:ilvl w:val="0"/>
          <w:numId w:val="5"/>
        </w:numPr>
        <w:jc w:val="both"/>
        <w:rPr>
          <w:i w:val="false"/>
          <w:i w:val="false"/>
          <w:sz w:val="20"/>
        </w:rPr>
      </w:pPr>
      <w:r>
        <w:rPr>
          <w:i w:val="false"/>
          <w:sz w:val="20"/>
        </w:rPr>
        <w:t>At the time of such notification, Buyer’s representative shall set the OFO Daily Contact Quantity (OFO DCQ).</w:t>
      </w:r>
    </w:p>
    <w:p>
      <w:pPr>
        <w:pStyle w:val="BodyTextIndent3"/>
        <w:numPr>
          <w:ilvl w:val="0"/>
          <w:numId w:val="5"/>
        </w:numPr>
        <w:jc w:val="both"/>
        <w:rPr>
          <w:i w:val="false"/>
          <w:i w:val="false"/>
          <w:sz w:val="20"/>
        </w:rPr>
      </w:pPr>
      <w:r>
        <w:rPr>
          <w:i w:val="false"/>
          <w:sz w:val="20"/>
        </w:rPr>
        <w:t xml:space="preserve">If Seller does not notify Buyer of an OFO event, and Seller incurs penalties as a result of Seller delivering a quantity that differs from Buyer’s usage, such penalties shall be the financial responsibility of Seller.  </w:t>
      </w:r>
    </w:p>
    <w:p>
      <w:pPr>
        <w:pStyle w:val="BodyTextIndent3"/>
        <w:numPr>
          <w:ilvl w:val="0"/>
          <w:numId w:val="5"/>
        </w:numPr>
        <w:jc w:val="both"/>
        <w:rPr>
          <w:i w:val="false"/>
          <w:i w:val="false"/>
          <w:sz w:val="20"/>
        </w:rPr>
      </w:pPr>
      <w:r>
        <w:rPr>
          <w:i w:val="false"/>
          <w:sz w:val="20"/>
        </w:rPr>
        <w:t xml:space="preserve">If the Buyer does not take receipt of the OFO DCQ, any resulting penalties incurred by Seller in its attempt to deliver the OFO DCQ shall be the financial responsibility of the Buyer. </w:t>
      </w:r>
    </w:p>
    <w:p>
      <w:pPr>
        <w:pStyle w:val="BodyTextIndent3"/>
        <w:numPr>
          <w:ilvl w:val="0"/>
          <w:numId w:val="5"/>
        </w:numPr>
        <w:jc w:val="both"/>
        <w:rPr>
          <w:i w:val="false"/>
          <w:i w:val="false"/>
          <w:sz w:val="20"/>
        </w:rPr>
      </w:pPr>
      <w:r>
        <w:rPr>
          <w:i w:val="false"/>
          <w:sz w:val="20"/>
        </w:rPr>
        <w:t>If the Seller does not deliver the appropriate OFO DCQ, any penalties incurred by Seller as a result of its failure to deliver the OFO DCQ shall be the responsibility of Seller.</w:t>
      </w:r>
    </w:p>
    <w:p>
      <w:pPr>
        <w:pStyle w:val="BodyTextIndent3"/>
        <w:numPr>
          <w:ilvl w:val="0"/>
          <w:numId w:val="5"/>
        </w:numPr>
        <w:jc w:val="both"/>
        <w:rPr>
          <w:i w:val="false"/>
          <w:i w:val="false"/>
          <w:sz w:val="20"/>
        </w:rPr>
      </w:pPr>
      <w:r>
        <w:rPr>
          <w:i w:val="false"/>
          <w:sz w:val="20"/>
        </w:rPr>
        <w:t>If Seller cannot contact Buyer’s representative to set the OFO DCQ, Seller shall unilaterally set the OFO DCQ and notify the Buyer of such gas quantity by leaving a telephone message with Buyer.  Buyer shall be financially responsible for any penalties assessed Seller as a result of Seller delivering a quantity that differs from such OFO DCQ.</w:t>
      </w:r>
    </w:p>
    <w:p>
      <w:pPr>
        <w:pStyle w:val="BodyTextIndent3"/>
        <w:rPr>
          <w:i w:val="false"/>
          <w:i w:val="false"/>
          <w:sz w:val="20"/>
        </w:rPr>
      </w:pPr>
      <w:r>
        <w:rPr>
          <w:i w:val="false"/>
          <w:sz w:val="20"/>
        </w:rPr>
      </w:r>
    </w:p>
    <w:p>
      <w:pPr>
        <w:pStyle w:val="Normal"/>
        <w:numPr>
          <w:ilvl w:val="0"/>
          <w:numId w:val="6"/>
        </w:numPr>
        <w:rPr>
          <w:i/>
          <w:i/>
        </w:rPr>
      </w:pPr>
      <w:r>
        <w:rPr>
          <w:b/>
          <w:iCs/>
        </w:rPr>
        <w:t>Price:</w:t>
        <w:tab/>
      </w:r>
      <w:r>
        <w:rPr>
          <w:iCs/>
        </w:rPr>
        <w:t>1.  The Contract Price for any BDQ delivered shall be</w:t>
      </w:r>
      <w:r>
        <w:rPr>
          <w:i/>
        </w:rPr>
        <w:t xml:space="preserve"> </w:t>
      </w:r>
      <w:r>
        <w:rPr>
          <w:u w:val="single"/>
        </w:rPr>
        <w:t>Natural Gas Intelligence</w:t>
      </w:r>
      <w:r>
        <w:rPr/>
        <w:t xml:space="preserve"> Gas Price Index, first issue of the delivery month, in the table titled “PG&amp;E City-gate,” plus twenty cents ($.20) per MMBtu.</w:t>
      </w:r>
    </w:p>
    <w:p>
      <w:pPr>
        <w:pStyle w:val="BodyTextIndent3"/>
        <w:tabs>
          <w:tab w:val="clear" w:pos="720"/>
          <w:tab w:val="left" w:pos="1800" w:leader="none"/>
        </w:tabs>
        <w:ind w:start="1080" w:end="0"/>
        <w:jc w:val="both"/>
        <w:rPr>
          <w:i w:val="false"/>
          <w:i w:val="false"/>
          <w:sz w:val="20"/>
        </w:rPr>
      </w:pPr>
      <w:r>
        <w:rPr>
          <w:i w:val="false"/>
          <w:sz w:val="20"/>
        </w:rPr>
      </w:r>
    </w:p>
    <w:p>
      <w:pPr>
        <w:pStyle w:val="ListBullet2"/>
        <w:numPr>
          <w:ilvl w:val="1"/>
          <w:numId w:val="6"/>
        </w:numPr>
        <w:rPr>
          <w:sz w:val="20"/>
        </w:rPr>
      </w:pPr>
      <w:r>
        <w:rPr>
          <w:sz w:val="20"/>
        </w:rPr>
        <w:t>If Buyer’s usage on any day is higher than the BDQ, Buyer shall purchase such difference from Seller at a Price equal to the Mid-Point Index, as posted in Financial Times “</w:t>
      </w:r>
      <w:r>
        <w:rPr>
          <w:sz w:val="20"/>
          <w:u w:val="single"/>
        </w:rPr>
        <w:t>Gas Daily</w:t>
      </w:r>
      <w:r>
        <w:rPr>
          <w:sz w:val="20"/>
        </w:rPr>
        <w:t>,” Publication’s Daily Price Survey, under the heading “Citygates,”for PG&amp;E citygate,”, mid-point of the common range plus $.05</w:t>
      </w:r>
    </w:p>
    <w:p>
      <w:pPr>
        <w:pStyle w:val="ListBullet2"/>
        <w:numPr>
          <w:ilvl w:val="1"/>
          <w:numId w:val="6"/>
        </w:numPr>
        <w:rPr>
          <w:sz w:val="20"/>
        </w:rPr>
      </w:pPr>
      <w:r>
        <w:rPr>
          <w:sz w:val="20"/>
        </w:rPr>
        <w:t xml:space="preserve"> </w:t>
      </w:r>
      <w:r>
        <w:rPr>
          <w:sz w:val="20"/>
        </w:rPr>
        <w:t>If Buyer’s usage on any day is lower than the BDQ, Seller shall purchase such quantity from Buyer at a Price equal to the Mid-Point Index, as posted in Financial Times “</w:t>
      </w:r>
      <w:r>
        <w:rPr>
          <w:sz w:val="20"/>
          <w:u w:val="single"/>
        </w:rPr>
        <w:t>Gas Daily</w:t>
      </w:r>
      <w:r>
        <w:rPr>
          <w:sz w:val="20"/>
        </w:rPr>
        <w:t>,” Publication’s Daily Price Survey, under the heading “Citygates,”for PG&amp;E citygate,”, mid-point of the common range minus $.05</w:t>
      </w:r>
    </w:p>
    <w:p>
      <w:pPr>
        <w:pStyle w:val="ListBullet2"/>
        <w:numPr>
          <w:ilvl w:val="1"/>
          <w:numId w:val="6"/>
        </w:numPr>
        <w:rPr>
          <w:sz w:val="20"/>
        </w:rPr>
      </w:pPr>
      <w:r>
        <w:rPr>
          <w:sz w:val="20"/>
        </w:rPr>
        <w:t>Buyer may choose to fix the price of a Baseload Daily Quantity and the fixed price shall be the market price at that time.  All fixed quantities shall be firm and Buyer must take all fixed price volumes.</w:t>
      </w:r>
    </w:p>
    <w:p>
      <w:pPr>
        <w:pStyle w:val="ListBullet2"/>
        <w:rPr>
          <w:sz w:val="20"/>
        </w:rPr>
      </w:pPr>
      <w:r>
        <w:rPr>
          <w:sz w:val="20"/>
        </w:rPr>
      </w:r>
    </w:p>
    <w:p>
      <w:pPr>
        <w:pStyle w:val="Normal"/>
        <w:tabs>
          <w:tab w:val="clear" w:pos="720"/>
          <w:tab w:val="left" w:pos="4320" w:leader="none"/>
          <w:tab w:val="left" w:pos="8640" w:leader="none"/>
        </w:tabs>
        <w:jc w:val="both"/>
        <w:rPr/>
      </w:pPr>
      <w:r>
        <w:rPr/>
        <w:t>Other:</w:t>
      </w:r>
    </w:p>
    <w:p>
      <w:pPr>
        <w:pStyle w:val="Normal"/>
        <w:tabs>
          <w:tab w:val="clear" w:pos="720"/>
          <w:tab w:val="left" w:pos="4320" w:leader="none"/>
          <w:tab w:val="left" w:pos="8640" w:leader="none"/>
        </w:tabs>
        <w:jc w:val="both"/>
        <w:rPr/>
      </w:pPr>
      <w:r>
        <w:rPr/>
      </w:r>
    </w:p>
    <w:p>
      <w:pPr>
        <w:pStyle w:val="Normal"/>
        <w:numPr>
          <w:ilvl w:val="0"/>
          <w:numId w:val="2"/>
        </w:numPr>
        <w:tabs>
          <w:tab w:val="clear" w:pos="720"/>
          <w:tab w:val="left" w:pos="8640" w:leader="none"/>
        </w:tabs>
        <w:jc w:val="both"/>
        <w:rPr/>
      </w:pPr>
      <w:r>
        <w:rPr/>
        <w:t xml:space="preserve">The prices proposed in the Term Sheet are indicative only and notwithstanding ENA will not hold the pricing open as a legally binding offer.  ENA expressly reserves the right to change the pricing in this Term Sheet at any time and shall only be bound to any pricing upon execution of an acceptable definitive agreement on all terms and conditions. </w:t>
      </w:r>
    </w:p>
    <w:p>
      <w:pPr>
        <w:pStyle w:val="BodyTextIndent3"/>
        <w:ind w:hanging="720" w:start="720" w:end="0"/>
        <w:jc w:val="both"/>
        <w:rPr>
          <w:i w:val="false"/>
          <w:i w:val="false"/>
          <w:sz w:val="20"/>
        </w:rPr>
      </w:pPr>
      <w:r>
        <w:rPr>
          <w:i w:val="false"/>
          <w:sz w:val="20"/>
        </w:rPr>
        <w:t xml:space="preserve">2.   Buyer will notify Seller in the event of a planned or unplanned outage.  If such notification is not provided in more than 3 instances, Seller has the right to terminate the Agreement upon thirty (30) days prior written notice to Buyer.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2"/>
      <w:numFmt w:val="upperRoman"/>
      <w:lvlText w:val="%1."/>
      <w:lvlJc w:val="start"/>
      <w:pPr>
        <w:tabs>
          <w:tab w:val="num" w:pos="720"/>
        </w:tabs>
        <w:ind w:start="720" w:hanging="720"/>
      </w:pPr>
      <w:rPr/>
    </w:lvl>
  </w:abstractNum>
  <w:abstractNum w:abstractNumId="4">
    <w:lvl w:ilvl="0">
      <w:start w:val="2"/>
      <w:numFmt w:val="decimal"/>
      <w:lvlText w:val="%1."/>
      <w:lvlJc w:val="start"/>
      <w:pPr>
        <w:tabs>
          <w:tab w:val="num" w:pos="1800"/>
        </w:tabs>
        <w:ind w:start="1800" w:hanging="360"/>
      </w:pPr>
      <w:rPr/>
    </w:lvl>
  </w:abstractNum>
  <w:abstractNum w:abstractNumId="5">
    <w:lvl w:ilvl="0">
      <w:start w:val="1"/>
      <w:numFmt w:val="lowerLetter"/>
      <w:lvlText w:val="%1."/>
      <w:lvlJc w:val="start"/>
      <w:pPr>
        <w:tabs>
          <w:tab w:val="num" w:pos="2160"/>
        </w:tabs>
        <w:ind w:start="2160" w:hanging="360"/>
      </w:pPr>
      <w:rPr/>
    </w:lvl>
  </w:abstractNum>
  <w:abstractNum w:abstractNumId="6">
    <w:lvl w:ilvl="0">
      <w:start w:val="6"/>
      <w:numFmt w:val="upperRoman"/>
      <w:lvlText w:val="%1."/>
      <w:lvlJc w:val="start"/>
      <w:pPr>
        <w:tabs>
          <w:tab w:val="num" w:pos="1080"/>
        </w:tabs>
        <w:ind w:start="1080" w:hanging="720"/>
      </w:pPr>
      <w:rPr/>
    </w:lvl>
    <w:lvl w:ilvl="1">
      <w:start w:val="2"/>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tabs>
        <w:tab w:val="clear" w:pos="720"/>
        <w:tab w:val="left" w:pos="360" w:leader="none"/>
      </w:tabs>
      <w:spacing w:before="0" w:after="120"/>
      <w:ind w:hanging="0" w:start="0" w:end="14"/>
      <w:outlineLvl w:val="1"/>
    </w:pPr>
    <w:rPr>
      <w:b/>
    </w:rPr>
  </w:style>
  <w:style w:type="paragraph" w:styleId="Heading3">
    <w:name w:val="heading 3"/>
    <w:basedOn w:val="Normal"/>
    <w:next w:val="Normal"/>
    <w:qFormat/>
    <w:pPr>
      <w:keepNext w:val="true"/>
      <w:numPr>
        <w:ilvl w:val="0"/>
        <w:numId w:val="3"/>
      </w:numPr>
      <w:spacing w:before="0" w:after="120"/>
      <w:ind w:hanging="0" w:start="0" w:end="14"/>
      <w:jc w:val="both"/>
      <w:outlineLvl w:val="2"/>
    </w:pPr>
    <w:rPr>
      <w:b/>
    </w:rPr>
  </w:style>
  <w:style w:type="paragraph" w:styleId="Heading4">
    <w:name w:val="heading 4"/>
    <w:basedOn w:val="Normal"/>
    <w:next w:val="Normal"/>
    <w:qFormat/>
    <w:pPr>
      <w:keepNext w:val="true"/>
      <w:numPr>
        <w:ilvl w:val="3"/>
        <w:numId w:val="1"/>
      </w:numPr>
      <w:spacing w:lineRule="auto" w:line="360" w:before="0" w:after="120"/>
      <w:ind w:hanging="360" w:start="36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360" w:leader="none"/>
      </w:tabs>
      <w:spacing w:before="0" w:after="120"/>
      <w:ind w:hanging="0" w:start="0" w:end="14"/>
      <w:jc w:val="both"/>
      <w:outlineLvl w:val="4"/>
    </w:pPr>
    <w:rPr>
      <w:b/>
    </w:rPr>
  </w:style>
  <w:style w:type="paragraph" w:styleId="Heading6">
    <w:name w:val="heading 6"/>
    <w:basedOn w:val="Normal"/>
    <w:next w:val="Normal"/>
    <w:qFormat/>
    <w:pPr>
      <w:keepNext w:val="true"/>
      <w:numPr>
        <w:ilvl w:val="5"/>
        <w:numId w:val="1"/>
      </w:numPr>
      <w:ind w:hanging="360" w:start="360" w:end="0"/>
      <w:outlineLvl w:val="5"/>
    </w:pPr>
    <w:rPr>
      <w:b/>
    </w:rPr>
  </w:style>
  <w:style w:type="paragraph" w:styleId="Heading7">
    <w:name w:val="heading 7"/>
    <w:basedOn w:val="Normal"/>
    <w:next w:val="Normal"/>
    <w:qFormat/>
    <w:pPr>
      <w:keepNext w:val="true"/>
      <w:numPr>
        <w:ilvl w:val="6"/>
        <w:numId w:val="1"/>
      </w:numPr>
      <w:ind w:hanging="0" w:start="648" w:end="0"/>
      <w:outlineLvl w:val="6"/>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Times New Roman" w:hAnsi="Times New Roman" w:cs="Times New Roman"/>
      <w:sz w:val="22"/>
    </w:rPr>
  </w:style>
  <w:style w:type="character" w:styleId="WW8Num13z0">
    <w:name w:val="WW8Num13z0"/>
    <w:qFormat/>
    <w:rPr/>
  </w:style>
  <w:style w:type="character" w:styleId="WW8Num14z0">
    <w:name w:val="WW8Num14z0"/>
    <w:qFormat/>
    <w:rPr/>
  </w:style>
  <w:style w:type="character" w:styleId="WW8Num15z0">
    <w:name w:val="WW8Num15z0"/>
    <w:qFormat/>
    <w:rPr>
      <w:b w:val="fals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before="0" w:after="120"/>
    </w:pPr>
    <w:rPr>
      <w:rFonts w:ascii="Arial" w:hAnsi="Arial" w:cs="Arial"/>
      <w:sz w:val="24"/>
    </w:rPr>
  </w:style>
  <w:style w:type="paragraph" w:styleId="List">
    <w:name w:val="List"/>
    <w:basedOn w:val="Normal"/>
    <w:pPr>
      <w:ind w:hanging="360" w:start="36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BodyTextIndent">
    <w:name w:val="Body Text Indent"/>
    <w:basedOn w:val="Normal"/>
    <w:pPr>
      <w:ind w:hanging="360" w:start="1080" w:end="0"/>
    </w:pPr>
    <w:rPr/>
  </w:style>
  <w:style w:type="paragraph" w:styleId="BlockText">
    <w:name w:val="Block Text"/>
    <w:basedOn w:val="Normal"/>
    <w:qFormat/>
    <w:pPr>
      <w:tabs>
        <w:tab w:val="clear" w:pos="720"/>
        <w:tab w:val="left" w:pos="360" w:leader="none"/>
      </w:tabs>
      <w:spacing w:before="0" w:after="120"/>
      <w:ind w:hanging="360" w:start="1080" w:end="14"/>
    </w:pPr>
    <w:rPr/>
  </w:style>
  <w:style w:type="paragraph" w:styleId="TOC6">
    <w:name w:val="toc 6"/>
    <w:basedOn w:val="Normal"/>
    <w:pPr>
      <w:tabs>
        <w:tab w:val="clear" w:pos="720"/>
        <w:tab w:val="left" w:pos="8280" w:leader="dot"/>
        <w:tab w:val="right" w:pos="8640" w:leader="none"/>
      </w:tabs>
      <w:spacing w:before="0" w:after="240"/>
      <w:ind w:hanging="0" w:start="0" w:end="720"/>
    </w:pPr>
    <w:rPr>
      <w:rFonts w:ascii="Courier" w:hAnsi="Courier" w:cs="Courier"/>
      <w:sz w:val="26"/>
    </w:rPr>
  </w:style>
  <w:style w:type="paragraph" w:styleId="BodyTextIndent3">
    <w:name w:val="Body Text Indent 3"/>
    <w:basedOn w:val="Normal"/>
    <w:qFormat/>
    <w:pPr>
      <w:ind w:hanging="0" w:start="1440" w:end="0"/>
    </w:pPr>
    <w:rPr>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2001-05-23T16:42:00Z</dcterms:created>
  <dc:creator>EW/LN/CB</dc:creator>
  <dc:description/>
  <cp:keywords>Ethan</cp:keywords>
  <dc:language>en-CA</dc:language>
  <cp:lastModifiedBy>kward</cp:lastModifiedBy>
  <cp:lastPrinted>2001-05-09T12:36:00Z</cp:lastPrinted>
  <dcterms:modified xsi:type="dcterms:W3CDTF">2001-05-23T16:53:00Z</dcterms:modified>
  <cp:revision>4</cp:revision>
  <dc:subject/>
  <dc:title>Ethan Frome</dc:title>
</cp:coreProperties>
</file>