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2"/>
          <w:u w:val="single"/>
        </w:rPr>
      </w:pPr>
      <w:r>
        <w:rPr>
          <w:rFonts w:cs="Times New Roman" w:ascii="Times New Roman" w:hAnsi="Times New Roman"/>
          <w:b/>
          <w:sz w:val="22"/>
          <w:u w:val="single"/>
        </w:rPr>
        <w:t>SAMPLE ARGENTINA ISDA</w:t>
      </w:r>
    </w:p>
    <w:p>
      <w:pPr>
        <w:pStyle w:val="Normal"/>
        <w:jc w:val="end"/>
        <w:rPr>
          <w:rFonts w:ascii="Times New Roman" w:hAnsi="Times New Roman" w:cs="Times New Roman"/>
          <w:b/>
          <w:sz w:val="22"/>
        </w:rPr>
      </w:pPr>
      <w:r>
        <w:rPr>
          <w:rFonts w:cs="Times New Roman" w:ascii="Times New Roman" w:hAnsi="Times New Roman"/>
          <w:b/>
          <w:sz w:val="22"/>
          <w:u w:val="single"/>
        </w:rPr>
        <w:t>DRAFT OF 08/24/99</w:t>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1999</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New Roman" w:ascii="Times New Roman" w:hAnsi="Times New Roman"/>
                <w:b/>
                <w:sz w:val="22"/>
                <w:u w:val="single"/>
              </w:rPr>
              <w:t xml:space="preserve">                                  </w:t>
            </w:r>
            <w:r>
              <w:rPr>
                <w:rFonts w:cs="Times New Roman" w:ascii="Times New Roman" w:hAnsi="Times New Roman"/>
                <w:b/>
                <w:sz w:val="22"/>
              </w:rPr>
              <w:t xml:space="preserve">., a </w:t>
            </w:r>
            <w:r>
              <w:rPr>
                <w:rFonts w:cs="Times New Roman" w:ascii="Times New Roman" w:hAnsi="Times New Roman"/>
                <w:b/>
                <w:sz w:val="22"/>
                <w:u w:val="single"/>
              </w:rPr>
              <w:t xml:space="preserve">                         </w:t>
            </w:r>
            <w:r>
              <w:rPr>
                <w:rFonts w:cs="Times New Roman" w:ascii="Times New Roman" w:hAnsi="Times New Roman"/>
                <w:b/>
                <w:sz w:val="22"/>
              </w:rPr>
              <w:t>organized under the law of Argentina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w:t>
      </w:r>
      <w:r>
        <w:rPr>
          <w:rFonts w:cs="Times New Roman" w:ascii="Times New Roman" w:hAnsi="Times New Roman"/>
          <w:sz w:val="22"/>
          <w:u w:val="single"/>
        </w:rPr>
        <w:t xml:space="preserve">                      </w:t>
      </w:r>
      <w:r>
        <w:rPr>
          <w:rFonts w:cs="Times New Roman" w:ascii="Times New Roman" w:hAnsi="Times New Roman"/>
          <w:sz w:val="22"/>
        </w:rPr>
        <w:t xml:space="preserve"> (or its equivalent in another currency); and with respect to Party B, U.S. $ </w:t>
      </w:r>
      <w:r>
        <w:rPr>
          <w:rFonts w:cs="Times New Roman" w:ascii="Times New Roman" w:hAnsi="Times New Roman"/>
          <w:sz w:val="22"/>
          <w:u w:val="single"/>
        </w:rPr>
        <w:t xml:space="preserve">                 </w:t>
      </w:r>
      <w:r>
        <w:rPr>
          <w:rFonts w:cs="Times New Roman" w:ascii="Times New Roman" w:hAnsi="Times New Roman"/>
          <w:sz w:val="22"/>
        </w:rPr>
        <w:t xml:space="preserve"> (or its equivalent in another currency).</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and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numPr>
          <w:ilvl w:val="0"/>
          <w:numId w:val="2"/>
        </w:numPr>
        <w:spacing w:lineRule="exact" w:line="240" w:before="240" w:after="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numPr>
          <w:ilvl w:val="0"/>
          <w:numId w:val="2"/>
        </w:numPr>
        <w:spacing w:lineRule="exact" w:line="240" w:before="240" w:after="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Contractual Currency”</w:t>
      </w:r>
      <w:r>
        <w:rPr>
          <w:rFonts w:cs="Times New Roman" w:ascii="Times New Roman" w:hAnsi="Times New Roman"/>
          <w:sz w:val="22"/>
        </w:rPr>
        <w:t xml:space="preserve"> unless otherwise specified in a Confirmation, shall mean United States Dollars.</w:t>
      </w:r>
    </w:p>
    <w:p>
      <w:pPr>
        <w:pStyle w:val="Normal"/>
        <w:spacing w:lineRule="exact" w:line="240" w:before="240" w:after="0"/>
        <w:ind w:firstLine="720" w:end="0"/>
        <w:jc w:val="both"/>
        <w:rPr/>
      </w:pPr>
      <w:r>
        <w:rPr>
          <w:rFonts w:cs="Times New Roman" w:ascii="Times New Roman" w:hAnsi="Times New Roman"/>
          <w:sz w:val="22"/>
        </w:rPr>
        <w:t>(h)</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any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(i)</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additional Events of Default for purposes of Section 5(a):</w:t>
      </w:r>
    </w:p>
    <w:p>
      <w:pPr>
        <w:pStyle w:val="BodyTextIndent3"/>
        <w:numPr>
          <w:ilvl w:val="0"/>
          <w:numId w:val="3"/>
        </w:numPr>
        <w:rPr/>
      </w:pPr>
      <w:r>
        <w:rPr/>
        <w:t xml:space="preserve">The Republic of Argentina or any competent authority thereof declares a moratorium on the payment of Party B indebtedness; or </w:t>
      </w:r>
    </w:p>
    <w:p>
      <w:pPr>
        <w:pStyle w:val="Normal"/>
        <w:numPr>
          <w:ilvl w:val="0"/>
          <w:numId w:val="3"/>
        </w:numPr>
        <w:spacing w:lineRule="exact" w:line="240" w:before="240" w:after="0"/>
        <w:jc w:val="both"/>
        <w:rPr>
          <w:rFonts w:ascii="Times New Roman" w:hAnsi="Times New Roman" w:cs="Times New Roman"/>
          <w:color w:val="000000"/>
          <w:sz w:val="22"/>
        </w:rPr>
      </w:pPr>
      <w:r>
        <w:rPr>
          <w:rFonts w:cs="Times New Roman" w:ascii="Times New Roman" w:hAnsi="Times New Roman"/>
          <w:color w:val="000000"/>
          <w:sz w:val="22"/>
        </w:rPr>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spacing w:lineRule="atLeast" w:line="240"/>
        <w:ind w:hanging="720" w:start="1440" w:end="0"/>
        <w:jc w:val="both"/>
        <w:rPr>
          <w:rFonts w:ascii="Times New Roman" w:hAnsi="Times New Roman" w:cs="Times New Roman"/>
          <w:sz w:val="22"/>
        </w:rPr>
      </w:pPr>
      <w:r>
        <w:rPr>
          <w:rFonts w:cs="Times New Roman" w:ascii="Times New Roman" w:hAnsi="Times New Roman"/>
          <w:sz w:val="22"/>
        </w:rPr>
        <w:t>(xi)</w:t>
        <w:tab/>
        <w:t>[Other]</w:t>
      </w:r>
    </w:p>
    <w:p>
      <w:pPr>
        <w:pStyle w:val="Normal"/>
        <w:numPr>
          <w:ilvl w:val="0"/>
          <w:numId w:val="0"/>
        </w:numPr>
        <w:spacing w:lineRule="exact" w:line="240" w:before="480" w:after="0"/>
        <w:jc w:val="both"/>
        <w:outlineLvl w:val="0"/>
        <w:rPr>
          <w:rFonts w:ascii="Times New Roman" w:hAnsi="Times New Roman" w:cs="Times New Roman"/>
          <w:sz w:val="22"/>
        </w:rPr>
      </w:pPr>
      <w:r>
        <w:rPr>
          <w:rFonts w:cs="Times New Roman" w:ascii="Times New Roman" w:hAnsi="Times New Roman"/>
          <w:b/>
          <w:sz w:val="22"/>
        </w:rPr>
        <w:t>Part 2.  Tax Representations.</w:t>
      </w:r>
    </w:p>
    <w:p>
      <w:pPr>
        <w:pStyle w:val="Normal"/>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makes no representations, and Party B makes the following representations:</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Each payment received or to be received by it in connection with this Agreement will not be effectively connected with its conduct of a trade or business in the United States.</w:t>
      </w:r>
    </w:p>
    <w:p>
      <w:pPr>
        <w:pStyle w:val="Normal"/>
        <w:numPr>
          <w:ilvl w:val="0"/>
          <w:numId w:val="0"/>
        </w:numPr>
        <w:spacing w:lineRule="exact" w:line="240" w:before="480" w:after="0"/>
        <w:jc w:val="both"/>
        <w:outlineLvl w:val="0"/>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(a)</w:t>
        <w:tab/>
        <w:t>Tax forms, documents, or certificates to be delivered are:  Party B agrees to complete (accurately and in a manner reasonably satisfactory to Party A), execute and deliver to Party A a United States Internal Revenue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keepNext w:val="true"/>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keepNext w:val="true"/>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Party A and Party B</w:t>
            </w:r>
          </w:p>
        </w:tc>
        <w:tc>
          <w:tcPr>
            <w:tcW w:w="4104" w:type="dxa"/>
            <w:tcBorders/>
          </w:tcPr>
          <w:p>
            <w:pPr>
              <w:pStyle w:val="Justified"/>
              <w:keepNext w:val="true"/>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keepNext w:val="true"/>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keepNext w:val="true"/>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pPr>
            <w:r>
              <w:rPr>
                <w:rFonts w:cs="Times New Roman" w:ascii="Times New Roman" w:hAnsi="Times New Roman"/>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rPr>
              <w:t>estatutos)</w:t>
            </w:r>
            <w:r>
              <w:rPr>
                <w:rFonts w:cs="Times New Roman" w:ascii="Times New Roman" w:hAnsi="Times New Roman"/>
              </w:rPr>
              <w:t xml:space="preserve"> of Party B.</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Annual Audited Consolidated Financial Statement of Party A’s Credit Support Provider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Quarterly Unaudited Consolidated Financial Statement of Party A’s Credit Support Provider</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Annual Audited Consolidated Financial Statement of Party B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Quarterly Unaudited Consolidated Financial Statement of Party B</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pPr>
            <w:r>
              <w:rPr>
                <w:rFonts w:cs="Times New Roman" w:ascii="Times New Roman" w:hAnsi="Times New Roman"/>
                <w:sz w:val="22"/>
              </w:rPr>
              <w:t xml:space="preserve">Legal opinion in form and substance of </w:t>
            </w:r>
            <w:r>
              <w:rPr>
                <w:rFonts w:cs="Times New Roman" w:ascii="Times New Roman" w:hAnsi="Times New Roman"/>
                <w:sz w:val="22"/>
                <w:u w:val="single"/>
              </w:rPr>
              <w:t>Attachment A</w:t>
            </w:r>
            <w:r>
              <w:rPr>
                <w:rFonts w:cs="Times New Roman" w:ascii="Times New Roman" w:hAnsi="Times New Roman"/>
                <w:sz w:val="22"/>
              </w:rPr>
              <w:t xml:space="preserve"> hereto</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No</w:t>
            </w:r>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keepNext w:val="true"/>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Corp.</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Justified"/>
              <w:keepNext w:val="true"/>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 xml:space="preserve"> </w:t>
      </w: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ISDA Credit Support Annex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Section 2(c)(ii)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ab/>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Cautio Judicatum Solvi:</w:t>
      </w:r>
      <w:r>
        <w:rPr>
          <w:rFonts w:cs="Times New Roman" w:ascii="Times New Roman" w:hAnsi="Times New Roman"/>
          <w:sz w:val="22"/>
        </w:rPr>
        <w:t xml:space="preserve">  Party B irrevocably waives the right to demand that Party A post a bond or guaranty (“</w:t>
      </w:r>
      <w:r>
        <w:rPr>
          <w:rFonts w:cs="Times New Roman" w:ascii="Times New Roman" w:hAnsi="Times New Roman"/>
          <w:i/>
          <w:sz w:val="22"/>
        </w:rPr>
        <w:t>cautio judicatum solvi</w:t>
      </w:r>
      <w:r>
        <w:rPr>
          <w:rFonts w:cs="Times New Roman" w:ascii="Times New Roman" w:hAnsi="Times New Roman"/>
          <w:sz w:val="22"/>
        </w:rPr>
        <w:t>”) in any proceeding initiated against Party B in the courts of Argentina for the enforcement of the arbitration award or otherwise.  The provisions of this clause will survive the termination of this Agreement.</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none; Party B appoints as its Process Agent, _____________, having an office in [New York City] [_______] on the date of this Agreement at [______________].</w:t>
      </w:r>
    </w:p>
    <w:p>
      <w:pPr>
        <w:pStyle w:val="Normal"/>
        <w:numPr>
          <w:ilvl w:val="0"/>
          <w:numId w:val="0"/>
        </w:numPr>
        <w:spacing w:lineRule="exact" w:line="240" w:before="480" w:after="0"/>
        <w:jc w:val="both"/>
        <w:outlineLvl w:val="0"/>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Subsections (g), (h), (i), (j) and (k):</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Customization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rFonts w:ascii="Times New Roman" w:hAnsi="Times New Roman" w:cs="Times New Roman"/>
          <w:sz w:val="22"/>
        </w:rPr>
      </w:pPr>
      <w:r>
        <w:rPr>
          <w:sz w:val="22"/>
        </w:rPr>
        <w:t>(k)</w:t>
        <w:tab/>
      </w:r>
      <w:r>
        <w:rPr>
          <w:b/>
          <w:sz w:val="22"/>
        </w:rPr>
        <w:t>Compliance with Argentina Law.</w:t>
      </w:r>
      <w:r>
        <w:rPr>
          <w:sz w:val="22"/>
        </w:rPr>
        <w:t xml:space="preserve">  With respect to Party B only,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sz w:val="22"/>
        </w:rPr>
        <w:t>Bonos Externos de la Republica Argentina</w:t>
      </w:r>
      <w:r>
        <w:rPr>
          <w:sz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adding the following Subsection (c):</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Subsection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numPr>
          <w:ilvl w:val="0"/>
          <w:numId w:val="0"/>
        </w:numPr>
        <w:spacing w:before="480" w:after="0"/>
        <w:jc w:val="both"/>
        <w:outlineLvl w:val="0"/>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(c)</w:t>
        <w:tab/>
        <w:t>In lieu of Section 7.4(d) of the Commodity Definitions, the “Market Disruption Events” specified in Section 7.4(c)(i), (c)(ii), (c)(iii), (c)(iv), (c)(v) and (c)(viii) of the Commodity Definitions shall apply,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Header"/>
        <w:rPr>
          <w:rFonts w:ascii="Times New Roman" w:hAnsi="Times New Roman" w:cs="Times New Roman"/>
          <w:sz w:val="22"/>
        </w:rPr>
      </w:pPr>
      <w:r>
        <w:rPr>
          <w:rFonts w:cs="Times New Roman" w:ascii="Times New Roman" w:hAnsi="Times New Roman"/>
          <w:sz w:val="22"/>
        </w:rPr>
      </w:r>
    </w:p>
    <w:p>
      <w:pPr>
        <w:pStyle w:val="Justified"/>
        <w:numPr>
          <w:ilvl w:val="0"/>
          <w:numId w:val="0"/>
        </w:numPr>
        <w:spacing w:before="0" w:after="0"/>
        <w:outlineLvl w:val="0"/>
        <w:rPr>
          <w:rFonts w:ascii="Times New Roman" w:hAnsi="Times New Roman" w:cs="Times New Roman"/>
        </w:rPr>
      </w:pPr>
      <w:r>
        <w:rPr>
          <w:rFonts w:cs="Times New Roman" w:ascii="Times New Roman" w:hAnsi="Times New Roman"/>
        </w:rPr>
        <w:t>EXECUTED effective as of the date first written above.</w:t>
      </w:r>
    </w:p>
    <w:p>
      <w:pPr>
        <w:pStyle w:val="Heading2"/>
        <w:ind w:hanging="0" w:end="0"/>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COUNTERPARTY</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t>ATTACHMENT A                  FORM OF LEGAL OPINION</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t>ISDA CREDIT SUPPORT ANNEX, including Paragraph 13 thereto</w:t>
      </w:r>
    </w:p>
    <w:p>
      <w:pPr>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pStyle w:val="Normal"/>
        <w:jc w:val="center"/>
        <w:rPr>
          <w:rFonts w:ascii="Times New Roman" w:hAnsi="Times New Roman" w:cs="Times New Roman"/>
          <w:sz w:val="22"/>
        </w:rPr>
      </w:pPr>
      <w:r>
        <w:rPr>
          <w:rFonts w:cs="Times New Roman" w:ascii="Times New Roman" w:hAnsi="Times New Roman"/>
          <w:sz w:val="22"/>
        </w:rPr>
        <w:t>[Letterhead of Counterparty’s Outside Legal Counsel]</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4320" w:end="0"/>
        <w:rPr>
          <w:rFonts w:ascii="Times New Roman" w:hAnsi="Times New Roman" w:cs="Times New Roman"/>
          <w:sz w:val="22"/>
        </w:rPr>
      </w:pPr>
      <w:r>
        <w:rPr>
          <w:rFonts w:cs="Times New Roman" w:ascii="Times New Roman" w:hAnsi="Times New Roman"/>
          <w:sz w:val="22"/>
        </w:rPr>
        <w:t>[Date]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Capital &amp; Trade Resources Corp.</w:t>
      </w:r>
    </w:p>
    <w:p>
      <w:pPr>
        <w:pStyle w:val="Normal"/>
        <w:jc w:val="both"/>
        <w:rPr>
          <w:rFonts w:ascii="Times New Roman" w:hAnsi="Times New Roman" w:cs="Times New Roman"/>
          <w:sz w:val="22"/>
        </w:rPr>
      </w:pPr>
      <w:r>
        <w:rPr>
          <w:rFonts w:cs="Times New Roman" w:ascii="Times New Roman" w:hAnsi="Times New Roman"/>
          <w:sz w:val="22"/>
        </w:rPr>
        <w:t>1400 Smith Street</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spacing w:before="0" w:after="12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Re:</w:t>
        <w:tab/>
        <w:t>Master Agreement between Enron Capital &amp; Trade Resources Corp. (“Enron”)</w:t>
      </w:r>
    </w:p>
    <w:p>
      <w:pPr>
        <w:pStyle w:val="Normal"/>
        <w:spacing w:before="0" w:after="120"/>
        <w:ind w:start="720" w:end="0"/>
        <w:jc w:val="both"/>
        <w:rPr/>
      </w:pPr>
      <w:r>
        <w:rPr>
          <w:rFonts w:cs="Times New Roman" w:ascii="Times New Roman" w:hAnsi="Times New Roman"/>
          <w:sz w:val="22"/>
        </w:rPr>
        <w:t xml:space="preserve">and </w:t>
      </w:r>
      <w:r>
        <w:rPr>
          <w:rFonts w:cs="Times New Roman" w:ascii="Times New Roman" w:hAnsi="Times New Roman"/>
          <w:sz w:val="22"/>
          <w:u w:val="single"/>
        </w:rPr>
        <w:t xml:space="preserve">                                               </w:t>
      </w:r>
      <w:r>
        <w:rPr>
          <w:rFonts w:cs="Times New Roman" w:ascii="Times New Roman" w:hAnsi="Times New Roman"/>
          <w:sz w:val="22"/>
        </w:rPr>
        <w:t xml:space="preserve"> (“Counterparty”)</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spacing w:before="0" w:after="240"/>
        <w:rPr>
          <w:sz w:val="22"/>
        </w:rPr>
      </w:pPr>
      <w:r>
        <w:rPr>
          <w:sz w:val="22"/>
        </w:rPr>
        <w:t>Ladies and Gentlemen:</w:t>
      </w:r>
    </w:p>
    <w:p>
      <w:pPr>
        <w:pStyle w:val="Normal"/>
        <w:spacing w:before="0" w:after="240"/>
        <w:ind w:firstLine="1440" w:end="0"/>
        <w:jc w:val="both"/>
        <w:rPr>
          <w:sz w:val="22"/>
        </w:rPr>
      </w:pPr>
      <w:r>
        <w:rPr>
          <w:sz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rPr>
      </w:pPr>
      <w:r>
        <w:rPr>
          <w:sz w:val="22"/>
        </w:rPr>
        <w:t>Based upon the foregoing, we are of the opinion that:</w:t>
      </w:r>
    </w:p>
    <w:p>
      <w:pPr>
        <w:pStyle w:val="Normal"/>
        <w:spacing w:before="0" w:after="240"/>
        <w:ind w:firstLine="1440" w:end="0"/>
        <w:jc w:val="both"/>
        <w:rPr>
          <w:sz w:val="22"/>
        </w:rPr>
      </w:pPr>
      <w:r>
        <w:rPr>
          <w:sz w:val="22"/>
        </w:rPr>
        <w:t>1.</w:t>
        <w:tab/>
        <w:t>Counterparty is a [                   ] duly organized, validly existing, and in good standing under the laws of the Relevant Jurisdiction.</w:t>
      </w:r>
    </w:p>
    <w:p>
      <w:pPr>
        <w:pStyle w:val="Normal"/>
        <w:spacing w:before="0" w:after="240"/>
        <w:ind w:firstLine="1440" w:end="0"/>
        <w:jc w:val="both"/>
        <w:rPr>
          <w:sz w:val="22"/>
        </w:rPr>
      </w:pPr>
      <w:r>
        <w:rPr>
          <w:sz w:val="22"/>
        </w:rPr>
        <w:t>2.</w:t>
        <w:tab/>
        <w:t>Counterparty has the full corporate [legal] right and power,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rPr>
      </w:pPr>
      <w:r>
        <w:rPr>
          <w:sz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rPr>
      </w:pPr>
      <w:r>
        <w:rPr>
          <w:sz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rPr>
      </w:pPr>
      <w:r>
        <w:rPr>
          <w:sz w:val="22"/>
        </w:rPr>
        <w:t>5.</w:t>
        <w:tab/>
        <w:t>Assuming that they were governed by and construed in accordance with the laws of, and judicial decisions of the courts in, the Relevant Jurisdiction,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rPr>
      </w:pPr>
      <w:r>
        <w:rPr>
          <w:sz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rPr>
      </w:pPr>
      <w:r>
        <w:rPr>
          <w:sz w:val="22"/>
        </w:rPr>
        <w:t>7.</w:t>
        <w:tab/>
        <w:t>The choice of law provision set forth in the Agreement is valid and binding under the laws of Relevant Jurisdiction and any political subdivision thereof and would be given effect by the courts of Relevant Jurisdiction and any political subdivision thereof.</w:t>
      </w:r>
    </w:p>
    <w:p>
      <w:pPr>
        <w:pStyle w:val="Normal"/>
        <w:spacing w:before="0" w:after="240"/>
        <w:ind w:firstLine="1440" w:end="0"/>
        <w:jc w:val="both"/>
        <w:rPr>
          <w:sz w:val="22"/>
        </w:rPr>
      </w:pPr>
      <w:r>
        <w:rPr>
          <w:sz w:val="22"/>
        </w:rPr>
        <w:t>8.</w:t>
        <w:tab/>
        <w:t>Counterparty is an “eligible swap participant” as defined in the Part 35 Regulations of the U.S. Commodity Futures Trading Commission.</w:t>
      </w:r>
    </w:p>
    <w:p>
      <w:pPr>
        <w:pStyle w:val="Normal"/>
        <w:spacing w:before="0" w:after="240"/>
        <w:ind w:firstLine="1440" w:end="0"/>
        <w:jc w:val="both"/>
        <w:rPr>
          <w:sz w:val="22"/>
        </w:rPr>
      </w:pPr>
      <w:r>
        <w:rPr>
          <w:sz w:val="22"/>
        </w:rPr>
        <w:t>9.</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rPr>
      </w:pPr>
      <w:r>
        <w:rPr>
          <w:sz w:val="22"/>
        </w:rPr>
        <w:t>10.</w:t>
        <w:tab/>
        <w:t>The Agreement and each Transaction thereunder do not constitute any kind of [activity]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sz w:val="22"/>
        </w:rPr>
      </w:pPr>
      <w:r>
        <w:rPr>
          <w:sz w:val="22"/>
        </w:rPr>
        <w:t>11.</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rPr>
      </w:pPr>
      <w:r>
        <w:rPr>
          <w:sz w:val="22"/>
        </w:rPr>
        <w:t>12.</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default" r:id="rId4"/>
          <w:headerReference w:type="first" r:id="rId5"/>
          <w:footerReference w:type="default" r:id="rId6"/>
          <w:footerReference w:type="first" r:id="rId7"/>
          <w:type w:val="nextPage"/>
          <w:pgSz w:w="12240" w:h="15840"/>
          <w:pgMar w:left="1440" w:right="1440" w:gutter="0" w:header="720" w:top="1008" w:footer="720" w:bottom="1008"/>
          <w:pgNumType w:start="1" w:fmt="decimal"/>
          <w:formProt w:val="false"/>
          <w:textDirection w:val="lrTb"/>
          <w:docGrid w:type="default" w:linePitch="360" w:charSpace="0"/>
        </w:sectPr>
        <w:pStyle w:val="Normal"/>
        <w:spacing w:before="0" w:after="240"/>
        <w:ind w:start="4320" w:end="0"/>
        <w:rPr>
          <w:sz w:val="22"/>
        </w:rPr>
      </w:pPr>
      <w:r>
        <w:rPr>
          <w:sz w:val="22"/>
        </w:rPr>
        <w:t>Very truly yours,</w:t>
      </w:r>
    </w:p>
    <w:p>
      <w:pPr>
        <w:pStyle w:val="Normal"/>
        <w:numPr>
          <w:ilvl w:val="0"/>
          <w:numId w:val="0"/>
        </w:numPr>
        <w:jc w:val="center"/>
        <w:outlineLvl w:val="0"/>
        <w:rPr>
          <w:rFonts w:ascii="Times New Roman" w:hAnsi="Times New Roman" w:cs="Times New Roman"/>
          <w:b/>
          <w:sz w:val="22"/>
        </w:rPr>
      </w:pPr>
      <w:r>
        <w:rPr>
          <w:rFonts w:cs="Times New Roman" w:ascii="Times New Roman" w:hAnsi="Times New Roman"/>
          <w:b/>
          <w:sz w:val="22"/>
          <w:u w:val="single"/>
        </w:rPr>
        <w:t>ANNEX A</w:t>
      </w:r>
    </w:p>
    <w:p>
      <w:pPr>
        <w:pStyle w:val="Normal"/>
        <w:jc w:val="center"/>
        <w:rPr>
          <w:rFonts w:ascii="Times New Roman" w:hAnsi="Times New Roman" w:cs="Times New Roman"/>
          <w:b/>
          <w:sz w:val="22"/>
        </w:rPr>
      </w:pPr>
      <w:r>
        <w:rPr>
          <w:rFonts w:cs="Times New Roman" w:ascii="Times New Roman" w:hAnsi="Times New Roman"/>
          <w:b/>
          <w:sz w:val="22"/>
        </w:rPr>
        <w:t>PARAGRAPH 13</w:t>
      </w:r>
    </w:p>
    <w:p>
      <w:pPr>
        <w:pStyle w:val="Normal"/>
        <w:jc w:val="center"/>
        <w:rPr>
          <w:rFonts w:ascii="Times New Roman" w:hAnsi="Times New Roman" w:cs="Times New Roman"/>
          <w:b/>
          <w:sz w:val="22"/>
        </w:rPr>
      </w:pPr>
      <w:r>
        <w:rPr>
          <w:rFonts w:cs="Times New Roman" w:ascii="Times New Roman" w:hAnsi="Times New Roman"/>
          <w:b/>
          <w:sz w:val="22"/>
        </w:rPr>
        <w:t>to the</w:t>
      </w:r>
    </w:p>
    <w:p>
      <w:pPr>
        <w:pStyle w:val="Normal"/>
        <w:jc w:val="center"/>
        <w:rPr>
          <w:rFonts w:ascii="Times New Roman" w:hAnsi="Times New Roman" w:cs="Times New Roman"/>
          <w:b/>
          <w:sz w:val="22"/>
        </w:rPr>
      </w:pPr>
      <w:r>
        <w:rPr>
          <w:rFonts w:cs="Times New Roman" w:ascii="Times New Roman" w:hAnsi="Times New Roman"/>
          <w:b/>
          <w:sz w:val="22"/>
        </w:rPr>
        <w:t>CREDIT SUPPORT ANNEX</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dated as of _________________, 1999</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pPr>
            <w:r>
              <w:rPr>
                <w:rFonts w:cs="Times New Roman" w:ascii="Times New Roman" w:hAnsi="Times New Roman"/>
                <w:b/>
                <w:sz w:val="22"/>
                <w:u w:val="single"/>
              </w:rPr>
              <w:t xml:space="preserve">                                 </w:t>
            </w:r>
            <w:r>
              <w:rPr>
                <w:rFonts w:cs="Times New Roman" w:ascii="Times New Roman" w:hAnsi="Times New Roman"/>
                <w:b/>
                <w:sz w:val="22"/>
              </w:rPr>
              <w:t xml:space="preserve">, a </w:t>
            </w:r>
            <w:r>
              <w:rPr>
                <w:rFonts w:cs="Times New Roman" w:ascii="Times New Roman" w:hAnsi="Times New Roman"/>
                <w:b/>
                <w:sz w:val="22"/>
                <w:u w:val="single"/>
              </w:rPr>
              <w:t xml:space="preserve">                         </w:t>
            </w:r>
            <w:r>
              <w:rPr>
                <w:rFonts w:cs="Times New Roman" w:ascii="Times New Roman" w:hAnsi="Times New Roman"/>
                <w:b/>
                <w:sz w:val="22"/>
              </w:rPr>
              <w:t xml:space="preserve"> organized under the law of Argentina ("Party B")</w:t>
            </w:r>
          </w:p>
        </w:tc>
      </w:tr>
    </w:tbl>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0"/>
        </w:numPr>
        <w:jc w:val="both"/>
        <w:outlineLvl w:val="0"/>
        <w:rPr>
          <w:rFonts w:ascii="Times New Roman" w:hAnsi="Times New Roman" w:cs="Times New Roman"/>
          <w:sz w:val="22"/>
        </w:rPr>
      </w:pPr>
      <w:r>
        <w:rPr>
          <w:rFonts w:cs="Times New Roman" w:ascii="Times New Roman" w:hAnsi="Times New Roman"/>
          <w:b/>
          <w:sz w:val="22"/>
        </w:rPr>
        <w:t>Paragraph 13.  Elections and Variables.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(a)</w:t>
        <w:tab/>
      </w:r>
      <w:r>
        <w:rPr>
          <w:rFonts w:cs="Times New Roman" w:ascii="Times New Roman" w:hAnsi="Times New Roman"/>
          <w:b/>
          <w:sz w:val="22"/>
        </w:rPr>
        <w:t>Security Interest for “Obligations”.</w:t>
      </w:r>
      <w:r>
        <w:rPr>
          <w:rFonts w:cs="Times New Roman" w:ascii="Times New Roman" w:hAnsi="Times New Roman"/>
          <w:sz w:val="22"/>
        </w:rPr>
        <w:t xml:space="preserve">  The term “</w:t>
      </w:r>
      <w:r>
        <w:rPr>
          <w:rFonts w:cs="Times New Roman" w:ascii="Times New Roman" w:hAnsi="Times New Roman"/>
          <w:b/>
          <w:sz w:val="22"/>
        </w:rPr>
        <w:t>Obligations”</w:t>
      </w:r>
      <w:r>
        <w:rPr>
          <w:rFonts w:cs="Times New Roman" w:ascii="Times New Roman" w:hAnsi="Times New Roman"/>
          <w:sz w:val="22"/>
        </w:rPr>
        <w:t xml:space="preserve"> as used in this Annex includes the following additional obligations:</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630" w:end="0"/>
        <w:jc w:val="both"/>
        <w:outlineLvl w:val="0"/>
        <w:rPr>
          <w:rFonts w:ascii="Times New Roman" w:hAnsi="Times New Roman" w:cs="Times New Roman"/>
          <w:sz w:val="22"/>
        </w:rPr>
      </w:pPr>
      <w:r>
        <w:rPr>
          <w:rFonts w:cs="Times New Roman" w:ascii="Times New Roman" w:hAnsi="Times New Roman"/>
          <w:sz w:val="22"/>
        </w:rPr>
        <w:t>With respect to Party A:  None.</w:t>
      </w:r>
    </w:p>
    <w:p>
      <w:pPr>
        <w:pStyle w:val="Normal"/>
        <w:ind w:start="63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630" w:end="0"/>
        <w:jc w:val="both"/>
        <w:outlineLvl w:val="0"/>
        <w:rPr>
          <w:rFonts w:ascii="Times New Roman" w:hAnsi="Times New Roman" w:cs="Times New Roman"/>
          <w:sz w:val="22"/>
        </w:rPr>
      </w:pPr>
      <w:r>
        <w:rPr>
          <w:rFonts w:cs="Times New Roman" w:ascii="Times New Roman" w:hAnsi="Times New Roman"/>
          <w:sz w:val="22"/>
        </w:rPr>
        <w:t>With respect to Party B:  None.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0"/>
        </w:numPr>
        <w:ind w:start="720" w:end="0"/>
        <w:jc w:val="both"/>
        <w:outlineLvl w:val="0"/>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ind w:hanging="1260"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3(a).</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3(b).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3.</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720" w:end="0"/>
        <w:jc w:val="both"/>
        <w:outlineLvl w:val="0"/>
        <w:rPr/>
      </w:pPr>
      <w:r>
        <w:rPr>
          <w:rFonts w:cs="Times New Roman" w:ascii="Times New Roman" w:hAnsi="Times New Roman"/>
          <w:sz w:val="22"/>
        </w:rPr>
        <w:t xml:space="preserve">(ii)  </w:t>
      </w:r>
      <w:r>
        <w:rPr>
          <w:rFonts w:cs="Times New Roman" w:ascii="Times New Roman" w:hAnsi="Times New Roman"/>
          <w:b/>
          <w:sz w:val="22"/>
        </w:rPr>
        <w:t>Eligible Collateral.</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Collateral”</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(A)</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Cash</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(B)</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Negotiable debt obligations issued by the U.S. Treasury Department having an original maturity at issuance of not more than one year (“Government Obligations”)</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98%</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(C)</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Other:</w:t>
              <w:tab/>
              <w:t>None</w:t>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r>
    </w:tbl>
    <w:p>
      <w:pPr>
        <w:pStyle w:val="Normal"/>
        <w:numPr>
          <w:ilvl w:val="0"/>
          <w:numId w:val="0"/>
        </w:numPr>
        <w:ind w:start="720" w:end="0"/>
        <w:jc w:val="both"/>
        <w:outlineLvl w:val="0"/>
        <w:rPr/>
      </w:pPr>
      <w:r>
        <w:rPr>
          <w:rFonts w:cs="Times New Roman" w:ascii="Times New Roman" w:hAnsi="Times New Roman"/>
          <w:sz w:val="22"/>
        </w:rPr>
        <w:t xml:space="preserve">(iii)  </w:t>
      </w:r>
      <w:r>
        <w:rPr>
          <w:rFonts w:cs="Times New Roman" w:ascii="Times New Roman" w:hAnsi="Times New Roman"/>
          <w:b/>
          <w:sz w:val="22"/>
        </w:rPr>
        <w:t>Other Eligible Support.</w:t>
      </w:r>
      <w:r>
        <w:rPr>
          <w:rFonts w:cs="Times New Roman" w:ascii="Times New Roman" w:hAnsi="Times New Roman"/>
          <w:sz w:val="22"/>
        </w:rPr>
        <w:t xml:space="preserve">  The following items will qualify as </w:t>
      </w:r>
      <w:r>
        <w:rPr>
          <w:rFonts w:cs="Times New Roman" w:ascii="Times New Roman" w:hAnsi="Times New Roman"/>
          <w:b/>
          <w:sz w:val="22"/>
        </w:rPr>
        <w:t>“Other Eligible Support”</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p>
            <w:pPr>
              <w:pStyle w:val="Norma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rPr>
                <w:rFonts w:ascii="Times New Roman" w:hAnsi="Times New Roman" w:cs="Times New Roman"/>
                <w:sz w:val="22"/>
              </w:rPr>
            </w:pPr>
            <w:r>
              <w:rPr>
                <w:rFonts w:cs="Times New Roman" w:ascii="Times New Roman" w:hAnsi="Times New Roman"/>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720" w:end="0"/>
        <w:jc w:val="both"/>
        <w:outlineLvl w:val="0"/>
        <w:rPr/>
      </w:pPr>
      <w:r>
        <w:rPr>
          <w:rFonts w:cs="Times New Roman" w:ascii="Times New Roman" w:hAnsi="Times New Roman"/>
          <w:sz w:val="22"/>
        </w:rPr>
        <w:t xml:space="preserve">(iv)  </w:t>
      </w:r>
      <w:r>
        <w:rPr>
          <w:rFonts w:cs="Times New Roman" w:ascii="Times New Roman" w:hAnsi="Times New Roman"/>
          <w:b/>
          <w:sz w:val="22"/>
        </w:rPr>
        <w:t>Thresholds.</w:t>
      </w:r>
    </w:p>
    <w:p>
      <w:pPr>
        <w:pStyle w:val="Norma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Party A: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firstLine="360" w:start="720" w:end="0"/>
        <w:jc w:val="both"/>
        <w:outlineLvl w:val="0"/>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(B)  </w:t>
      </w:r>
      <w:r>
        <w:rPr>
          <w:rFonts w:cs="Times New Roman" w:ascii="Times New Roman" w:hAnsi="Times New Roman"/>
          <w:b/>
          <w:sz w:val="22"/>
        </w:rPr>
        <w:t>“Threshold”</w:t>
      </w:r>
      <w:r>
        <w:rPr>
          <w:rFonts w:cs="Times New Roman" w:ascii="Times New Roman" w:hAnsi="Times New Roman"/>
          <w:sz w:val="22"/>
        </w:rPr>
        <w:t xml:space="preserve"> means with respect to Party A, U.S. $</w:t>
      </w:r>
      <w:r>
        <w:rPr>
          <w:rFonts w:cs="Times New Roman" w:ascii="Times New Roman" w:hAnsi="Times New Roman"/>
          <w:sz w:val="22"/>
          <w:u w:val="single"/>
        </w:rPr>
        <w:t xml:space="preserve">                   </w:t>
      </w:r>
      <w:r>
        <w:rPr>
          <w:rFonts w:cs="Times New Roman" w:ascii="Times New Roman" w:hAnsi="Times New Roman"/>
          <w:sz w:val="22"/>
        </w:rPr>
        <w:t xml:space="preserve"> and with respect to Party B, U.S. $</w:t>
      </w:r>
      <w:r>
        <w:rPr>
          <w:rFonts w:cs="Times New Roman" w:ascii="Times New Roman" w:hAnsi="Times New Roman"/>
          <w:sz w:val="22"/>
          <w:u w:val="single"/>
        </w:rPr>
        <w:t xml:space="preserve">                  </w:t>
      </w:r>
      <w:r>
        <w:rPr>
          <w:rFonts w:cs="Times New Roman" w:ascii="Times New Roman" w:hAnsi="Times New Roman"/>
          <w:sz w:val="22"/>
        </w:rPr>
        <w:t xml:space="preserve">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firstLine="360" w:start="720" w:end="0"/>
        <w:jc w:val="both"/>
        <w:outlineLvl w:val="0"/>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w:t>
      </w:r>
      <w:r>
        <w:rPr>
          <w:rFonts w:cs="Times New Roman" w:ascii="Times New Roman" w:hAnsi="Times New Roman"/>
          <w:sz w:val="22"/>
          <w:u w:val="single"/>
        </w:rPr>
        <w:t xml:space="preserve">                 </w:t>
      </w:r>
      <w:r>
        <w:rPr>
          <w:rFonts w:cs="Times New Roman" w:ascii="Times New Roman" w:hAnsi="Times New Roman"/>
          <w:sz w:val="22"/>
        </w:rPr>
        <w:t xml:space="preserve"> and the Return Amount will be rounded down to the nearest integral multiple of U.S. $</w:t>
      </w:r>
      <w:r>
        <w:rPr>
          <w:rFonts w:cs="Times New Roman" w:ascii="Times New Roman" w:hAnsi="Times New Roman"/>
          <w:sz w:val="22"/>
          <w:u w:val="single"/>
        </w:rPr>
        <w:t xml:space="preserve">                   </w:t>
      </w:r>
      <w:r>
        <w:rPr>
          <w:rFonts w:cs="Times New Roman" w:ascii="Times New Roman" w:hAnsi="Times New Roman"/>
          <w:sz w:val="22"/>
        </w:rPr>
        <w: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  ]  the close of business in the city of the Valuation Agent on the Valuation Date or date of calculation, as applicable;</w:t>
      </w:r>
    </w:p>
    <w:p>
      <w:pPr>
        <w:pStyle w:val="Normal"/>
        <w:ind w:hanging="36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New York time, on a Local Business Day: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(d)</w:t>
        <w:tab/>
      </w:r>
      <w:r>
        <w:rPr>
          <w:rFonts w:cs="Times New Roman" w:ascii="Times New Roman" w:hAnsi="Times New Roman"/>
          <w:b/>
          <w:sz w:val="22"/>
        </w:rPr>
        <w:t>Conditions Precedent and Secured Party’s Rights and Remedies.</w:t>
      </w:r>
      <w:r>
        <w:rPr>
          <w:rFonts w:cs="Times New Roman" w:ascii="Times New Roman" w:hAnsi="Times New Roman"/>
          <w:sz w:val="22"/>
        </w:rPr>
        <w:t xml:space="preserve">  The following Termination Event(s) will be a </w:t>
      </w:r>
      <w:r>
        <w:rPr>
          <w:rFonts w:cs="Times New Roman" w:ascii="Times New Roman" w:hAnsi="Times New Roman"/>
          <w:b/>
          <w:sz w:val="22"/>
        </w:rPr>
        <w:t>“Specified Condition”</w:t>
      </w:r>
      <w:r>
        <w:rPr>
          <w:rFonts w:cs="Times New Roman" w:ascii="Times New Roman" w:hAnsi="Times New Roman"/>
          <w:sz w:val="22"/>
        </w:rPr>
        <w:t xml:space="preserve"> for the party specified (that party being the Affected Party if the Termination Event occurs with respect to that party):</w:t>
      </w:r>
    </w:p>
    <w:p>
      <w:pPr>
        <w:pStyle w:val="Normal"/>
        <w:ind w:start="2160" w:end="0"/>
        <w:jc w:val="both"/>
        <w:rPr>
          <w:rFonts w:ascii="Times New Roman" w:hAnsi="Times New Roman" w:cs="Times New Roman"/>
          <w:sz w:val="22"/>
        </w:rPr>
      </w:pPr>
      <w:r>
        <w:rPr>
          <w:rFonts w:cs="Times New Roman"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rFonts w:ascii="Times New Roman" w:hAnsi="Times New Roman" w:cs="Times New Roman"/>
                <w:b/>
                <w:sz w:val="22"/>
              </w:rPr>
            </w:pPr>
            <w:r>
              <w:rPr>
                <w:rFonts w:cs="Times New Roman" w:ascii="Times New Roman" w:hAnsi="Times New Roman"/>
                <w:b/>
                <w:sz w:val="22"/>
              </w:rPr>
              <w:t>Specified Condition</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Illegality</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Credit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Additional Termination Event(s):</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r>
    </w:tbl>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Substitution.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pPr>
      <w:r>
        <w:rPr>
          <w:rFonts w:cs="Times New Roman" w:ascii="Times New Roman" w:hAnsi="Times New Roman"/>
          <w:sz w:val="22"/>
        </w:rPr>
        <w:t xml:space="preserve">(i)  </w:t>
      </w:r>
      <w:r>
        <w:rPr>
          <w:rFonts w:cs="Times New Roman" w:ascii="Times New Roman" w:hAnsi="Times New Roman"/>
          <w:b/>
          <w:sz w:val="22"/>
        </w:rPr>
        <w:t>“Substitution Date”</w:t>
      </w:r>
      <w:r>
        <w:rPr>
          <w:rFonts w:cs="Times New Roman" w:ascii="Times New Roman" w:hAnsi="Times New Roman"/>
          <w:sz w:val="22"/>
        </w:rPr>
        <w:t xml:space="preserve"> has the meaning specified in Paragraph 4(d)(ii).</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Consent.</w:t>
      </w:r>
      <w:r>
        <w:rPr>
          <w:rFonts w:cs="Times New Roman" w:ascii="Times New Roman" w:hAnsi="Times New Roman"/>
          <w:sz w:val="22"/>
        </w:rPr>
        <w:t xml:space="preserve">  If specified here as applicable, then the Pledgor must obtain the Secured Party’s consent for any substitution pursuant to Paragraph 4(d):  Inapplicable.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(f)  </w:t>
      </w:r>
      <w:r>
        <w:rPr>
          <w:rFonts w:cs="Times New Roman" w:ascii="Times New Roman" w:hAnsi="Times New Roman"/>
          <w:b/>
          <w:sz w:val="22"/>
        </w:rPr>
        <w:t>Dispute Resolution.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New York time, on the third Local Business Day following the date on which notice of the dispute is given under Paragraph 5.</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5(i)(C) and 5(ii), the Value of Posted Credit Support as of the relevant calculation date will be calculated as follows: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With respect to cash, the face amount thereof;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 xml:space="preserve">(2)  With respect to any Government Obligations, the sum of (A)(x) the mean of the high bid and low asked prices quoted on such date by two principal market makers of recognized national standing (each a </w:t>
      </w:r>
      <w:r>
        <w:rPr>
          <w:rFonts w:cs="Times New Roman" w:ascii="Times New Roman" w:hAnsi="Times New Roman"/>
          <w:b/>
          <w:sz w:val="22"/>
        </w:rPr>
        <w:t>“Principal Market Maker”</w:t>
      </w:r>
      <w:r>
        <w:rPr>
          <w:rFonts w:cs="Times New Roman"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Holding and Using Posted Collateral.</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Eligibility to Hold Posted Collateral; Custodians.</w:t>
      </w:r>
      <w:r>
        <w:rPr>
          <w:rFonts w:cs="Times New Roman" w:ascii="Times New Roman" w:hAnsi="Times New Roman"/>
          <w:sz w:val="22"/>
        </w:rPr>
        <w:t xml:space="preserve">  Party A and its Custodian will be entitled to hold Posted Collateral pursuant to Paragraph 6(b);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xml:space="preserve"> the following conditions applicable to it are satisfied:</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A is not a Defaulting Party and Enron Corp. has a Credit Rating from S&amp;P and the lowest Credit Rating for Enron Corp. is “BBB-” or higher by S&amp;P.</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within the United States.</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Party B and its Custodian will be entitled to hold Posted Collateral pursuant to Paragraph 6(b); </w:t>
      </w:r>
      <w:r>
        <w:rPr>
          <w:rFonts w:cs="Times New Roman" w:ascii="Times New Roman" w:hAnsi="Times New Roman"/>
          <w:sz w:val="22"/>
          <w:u w:val="single"/>
        </w:rPr>
        <w:t>provided that</w:t>
      </w:r>
      <w:r>
        <w:rPr>
          <w:rFonts w:cs="Times New Roman" w:ascii="Times New Roman" w:hAnsi="Times New Roman"/>
          <w:sz w:val="22"/>
        </w:rPr>
        <w:t xml:space="preserve"> the following conditions applicable to it are satisfied:</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B is not a Defaulting Party and a Material Adverse Change has not occurred with respect to Party B.</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in the United States.</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Use of Posted Collateral.</w:t>
      </w:r>
      <w:r>
        <w:rPr>
          <w:rFonts w:cs="Times New Roman" w:ascii="Times New Roman" w:hAnsi="Times New Roman"/>
          <w:sz w:val="22"/>
        </w:rPr>
        <w:t xml:space="preserve">  The provisions of Paragraph 6(c) will apply to the parties;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if a party is not eligible to hold Posted Collateral pursuant to Paragraph 13(g)(i) (such party shall be the </w:t>
      </w:r>
      <w:r>
        <w:rPr>
          <w:rFonts w:cs="Times New Roman" w:ascii="Times New Roman" w:hAnsi="Times New Roman"/>
          <w:b/>
          <w:sz w:val="22"/>
        </w:rPr>
        <w:t>“Downgraded Party”</w:t>
      </w:r>
      <w:r>
        <w:rPr>
          <w:rFonts w:cs="Times New Roman" w:ascii="Times New Roman" w:hAnsi="Times New Roman"/>
          <w:sz w:val="22"/>
        </w:rPr>
        <w:t xml:space="preserve"> and the event that caused it to be ineligible to hold Posted Collateral shall be a </w:t>
      </w:r>
      <w:r>
        <w:rPr>
          <w:rFonts w:cs="Times New Roman" w:ascii="Times New Roman" w:hAnsi="Times New Roman"/>
          <w:b/>
          <w:sz w:val="22"/>
        </w:rPr>
        <w:t>“Credit Rating Event”</w:t>
      </w:r>
      <w:r>
        <w:rPr>
          <w:rFonts w:cs="Times New Roman" w:ascii="Times New Roman" w:hAnsi="Times New Roman"/>
          <w:sz w:val="22"/>
        </w:rPr>
        <w:t>), then:</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the provisions of Paragraph 6(c) will not apply with respect to the Downgraded Party as the Secured Party;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Times New Roman" w:ascii="Times New Roman" w:hAnsi="Times New Roman"/>
          <w:b/>
          <w:sz w:val="22"/>
        </w:rPr>
        <w:t>“Qualified Institution”</w:t>
      </w:r>
      <w:r>
        <w:rPr>
          <w:rFonts w:cs="Times New Roman" w:ascii="Times New Roman" w:hAnsi="Times New Roman"/>
          <w:sz w:val="22"/>
        </w:rPr>
        <w:t>), approved by the non-Downgraded Party (which approval shall not be unreasonably withheld) to a segregated, safekeeping or custody account (</w:t>
      </w:r>
      <w:r>
        <w:rPr>
          <w:rFonts w:cs="Times New Roman" w:ascii="Times New Roman" w:hAnsi="Times New Roman"/>
          <w:b/>
          <w:sz w:val="22"/>
        </w:rPr>
        <w:t>“Collateral Account”</w:t>
      </w:r>
      <w:r>
        <w:rPr>
          <w:rFonts w:cs="Times New Roman"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Distributions and Interest Amount.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will be:  Federal Funds Overnight Rate as from time to time in effect.</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6(d)(ii) will apply except as modified below.</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Additional Representation(s) and Covenants.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Support and Other Posted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“Value”</w:t>
      </w:r>
      <w:r>
        <w:rPr>
          <w:rFonts w:cs="Times New Roman" w:ascii="Times New Roman" w:hAnsi="Times New Roman"/>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w:t>
      </w:r>
      <w:r>
        <w:rPr>
          <w:rFonts w:cs="Times New Roman"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All Other Eligible Support and Other Posted Support consisting of Letters of Credit shall be issued and maintained in accordance with the provisions set forth in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Schedule 1</w:t>
      </w:r>
      <w:r>
        <w:rPr>
          <w:rFonts w:cs="Times New Roman" w:ascii="Times New Roman" w:hAnsi="Times New Roman"/>
          <w:sz w:val="22"/>
        </w:rPr>
        <w:t xml:space="preserve"> attached hereto.</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(k)</w:t>
        <w:tab/>
      </w:r>
      <w:r>
        <w:rPr>
          <w:rFonts w:cs="Times New Roman" w:ascii="Times New Roman" w:hAnsi="Times New Roman"/>
          <w:b/>
          <w:sz w:val="22"/>
        </w:rPr>
        <w:t>Demands and Notices.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demands, specifications, and notices under this Annex will be made pursuant to the Notices Section of this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(l)</w:t>
        <w:tab/>
      </w:r>
      <w:r>
        <w:rPr>
          <w:rFonts w:cs="Times New Roman" w:ascii="Times New Roman" w:hAnsi="Times New Roman"/>
          <w:b/>
          <w:sz w:val="22"/>
        </w:rPr>
        <w:t>Addresses for Transfers.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1080" w:start="1800" w:end="0"/>
        <w:jc w:val="both"/>
        <w:rPr>
          <w:rFonts w:ascii="Times New Roman" w:hAnsi="Times New Roman" w:cs="Times New Roman"/>
          <w:sz w:val="22"/>
        </w:rPr>
      </w:pPr>
      <w:r>
        <w:rPr>
          <w:rFonts w:cs="Times New Roman" w:ascii="Times New Roman" w:hAnsi="Times New Roman"/>
          <w:sz w:val="22"/>
        </w:rPr>
        <w:t>Party A:     To be provided in notice requesting delivery/return of Eligible Credit Support/Posted Credit Support.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1080" w:start="1800" w:end="0"/>
        <w:jc w:val="both"/>
        <w:rPr>
          <w:rFonts w:ascii="Times New Roman" w:hAnsi="Times New Roman" w:cs="Times New Roman"/>
          <w:sz w:val="22"/>
        </w:rPr>
      </w:pPr>
      <w:r>
        <w:rPr>
          <w:rFonts w:cs="Times New Roman" w:ascii="Times New Roman" w:hAnsi="Times New Roman"/>
          <w:sz w:val="22"/>
        </w:rPr>
        <w:t>Party B:      To be provided in notice requesting delivery/return of Eligible Credit Support/Posted Credit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(m)</w:t>
        <w:tab/>
      </w:r>
      <w:r>
        <w:rPr>
          <w:rFonts w:cs="Times New Roman" w:ascii="Times New Roman" w:hAnsi="Times New Roman"/>
          <w:b/>
          <w:sz w:val="22"/>
        </w:rPr>
        <w:t>Other Provisions.</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(i)  Paragraph 12 of this Annex is hereby amended by adding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pPr>
      <w:r>
        <w:rPr>
          <w:rFonts w:cs="Times New Roman" w:ascii="Times New Roman" w:hAnsi="Times New Roman"/>
          <w:b/>
          <w:sz w:val="22"/>
        </w:rPr>
        <w:t>“</w:t>
      </w:r>
      <w:r>
        <w:rPr>
          <w:rFonts w:cs="Times New Roman" w:ascii="Times New Roman" w:hAnsi="Times New Roman"/>
          <w:b/>
          <w:sz w:val="22"/>
        </w:rPr>
        <w:t>Funded Debt”</w:t>
      </w:r>
      <w:r>
        <w:rPr>
          <w:rFonts w:cs="Times New Roman" w:ascii="Times New Roman" w:hAnsi="Times New Roman"/>
          <w:sz w:val="22"/>
        </w:rPr>
        <w:t xml:space="preserve"> means consolidated indebtedness of Party B which by its terms matures more than one year from the date as of which any calculation of Funded Debt is made.</w:t>
      </w:r>
    </w:p>
    <w:p>
      <w:pPr>
        <w:pStyle w:val="Normal"/>
        <w:spacing w:lineRule="atLeast" w:line="240"/>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GAAP”</w:t>
      </w:r>
      <w:r>
        <w:rPr>
          <w:rFonts w:cs="Times New Roman" w:ascii="Times New Roman" w:hAnsi="Times New Roman"/>
          <w:sz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w:t>
      </w:r>
      <w:r>
        <w:rPr>
          <w:sz w:val="22"/>
        </w:rPr>
        <w:t>(</w:t>
      </w:r>
      <w:r>
        <w:rPr>
          <w:rFonts w:cs="Times New Roman" w:ascii="Times New Roman" w:hAnsi="Times New Roman"/>
          <w:sz w:val="22"/>
        </w:rPr>
        <w:t xml:space="preserve">a) with respect to Party A, Enron Corp.’s Credit Rating is below “BBB-” by S&amp;P or it shall fail to have a Credit Rating from S&amp;P; and (b) with respect to Party B, </w:t>
      </w:r>
    </w:p>
    <w:p>
      <w:pPr>
        <w:pStyle w:val="Normal"/>
        <w:spacing w:lineRule="atLeast" w:line="240"/>
        <w:ind w:start="720" w:end="0"/>
        <w:jc w:val="both"/>
        <w:rPr>
          <w:rFonts w:ascii="Times New Roman" w:hAnsi="Times New Roman" w:cs="Times New Roman"/>
          <w:sz w:val="22"/>
        </w:rPr>
      </w:pPr>
      <w:r>
        <w:rPr>
          <w:rFonts w:cs="Times New Roman" w:ascii="Times New Roman" w:hAnsi="Times New Roman"/>
          <w:sz w:val="22"/>
        </w:rPr>
        <w:t>[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720" w:end="0"/>
        <w:jc w:val="both"/>
        <w:outlineLvl w:val="0"/>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pPr>
      <w:r>
        <w:rPr>
          <w:rFonts w:cs="Times New Roman" w:ascii="Times New Roman" w:hAnsi="Times New Roman"/>
          <w:b/>
          <w:sz w:val="22"/>
        </w:rPr>
        <w:t>“</w:t>
      </w:r>
      <w:r>
        <w:rPr>
          <w:rFonts w:cs="Times New Roman" w:ascii="Times New Roman" w:hAnsi="Times New Roman"/>
          <w:b/>
          <w:sz w:val="22"/>
        </w:rPr>
        <w:t>Net Worth”</w:t>
      </w:r>
      <w:r>
        <w:rPr>
          <w:rFonts w:cs="Times New Roman" w:ascii="Times New Roman" w:hAnsi="Times New Roman"/>
          <w:sz w:val="22"/>
        </w:rPr>
        <w:t xml:space="preserve"> means consolidated total assets of Party B (exclusive of intangible assets), minus consolidated total liabilities of Party B, each as would be reflected on a consolidated balance sheet of Party B prepared in accordance with GAAP.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720" w:end="0"/>
        <w:jc w:val="both"/>
        <w:outlineLvl w:val="0"/>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  Paragraph 6(d)(i) is hereby amended by adding the following sentence: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numPr>
          <w:ilvl w:val="0"/>
          <w:numId w:val="0"/>
        </w:numPr>
        <w:jc w:val="center"/>
        <w:outlineLvl w:val="0"/>
        <w:rPr>
          <w:rFonts w:ascii="Times New Roman" w:hAnsi="Times New Roman" w:cs="Times New Roman"/>
          <w:b/>
          <w:sz w:val="22"/>
        </w:rPr>
      </w:pPr>
      <w:r>
        <w:rPr>
          <w:rFonts w:cs="Times New Roman" w:ascii="Times New Roman" w:hAnsi="Times New Roman"/>
          <w:b/>
          <w:sz w:val="22"/>
          <w:u w:val="single"/>
        </w:rPr>
        <w:t>EXHIBIT A</w:t>
      </w:r>
    </w:p>
    <w:p>
      <w:pPr>
        <w:pStyle w:val="Expanded"/>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to Paragraph 13</w:t>
      </w:r>
    </w:p>
    <w:p>
      <w:pPr>
        <w:pStyle w:val="Normal"/>
        <w:jc w:val="center"/>
        <w:rPr>
          <w:rFonts w:ascii="Times New Roman" w:hAnsi="Times New Roman" w:cs="Times New Roman"/>
          <w:sz w:val="22"/>
        </w:rPr>
      </w:pPr>
      <w:r>
        <w:rPr>
          <w:rFonts w:cs="Times New Roman" w:ascii="Times New Roman" w:hAnsi="Times New Roman"/>
          <w:b/>
          <w:sz w:val="22"/>
        </w:rPr>
        <w:t>of Annex A</w:t>
      </w:r>
    </w:p>
    <w:p>
      <w:pPr>
        <w:pStyle w:val="Normal"/>
        <w:jc w:val="center"/>
        <w:rPr>
          <w:rFonts w:ascii="Times New Roman" w:hAnsi="Times New Roman" w:cs="Times New Roman"/>
          <w:sz w:val="22"/>
        </w:rPr>
      </w:pPr>
      <w:r>
        <w:rPr>
          <w:rFonts w:cs="Times New Roman" w:ascii="Times New Roman" w:hAnsi="Times New Roman"/>
          <w:sz w:val="22"/>
        </w:rPr>
      </w:r>
    </w:p>
    <w:p>
      <w:pPr>
        <w:pStyle w:val="Normal"/>
        <w:numPr>
          <w:ilvl w:val="0"/>
          <w:numId w:val="0"/>
        </w:numPr>
        <w:jc w:val="center"/>
        <w:outlineLvl w:val="0"/>
        <w:rPr>
          <w:rFonts w:ascii="Times New Roman" w:hAnsi="Times New Roman" w:cs="Times New Roman"/>
          <w:sz w:val="22"/>
        </w:rPr>
      </w:pPr>
      <w:r>
        <w:rPr>
          <w:rFonts w:cs="Times New Roman" w:ascii="Times New Roman" w:hAnsi="Times New Roman"/>
          <w:b/>
          <w:sz w:val="22"/>
        </w:rPr>
        <w:t>LETTER OF CREDIT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within two (2) Local Business Days after such refusal.</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pPr>
      <w:r>
        <w:rPr>
          <w:rFonts w:cs="Times New Roman" w:ascii="Times New Roman" w:hAnsi="Times New Roman"/>
          <w:sz w:val="22"/>
        </w:rPr>
        <w:t xml:space="preserve">(b)  Upon the occurrence of a Letter of Credit Default, X agrees to deliver a substitute Letter of Credit to Y on or before the second Local Business Day after the occurrence thereof (or on or before the fifth Local Business Day after the occurrence thereof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start="540" w:end="0"/>
        <w:jc w:val="both"/>
        <w:rPr>
          <w:rFonts w:ascii="Times New Roman" w:hAnsi="Times New Roman" w:cs="Times New Roman"/>
          <w:sz w:val="22"/>
        </w:rPr>
      </w:pPr>
      <w:r>
        <w:rPr>
          <w:rFonts w:cs="Times New Roman" w:ascii="Times New Roman" w:hAnsi="Times New Roman"/>
          <w:sz w:val="22"/>
        </w:rPr>
        <w:t>(ii)  If X shall fail to renew, substitute, or sufficiently increase the amount of an outstanding Letter of Credit (as the case may be), or establish one or more additional Letters of Credit, or otherwise provide sufficient Eligible Credit Support or upon or at any time after the occurrence of an Event of Default with respect to X,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Posted Collateral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rFonts w:ascii="Times New Roman" w:hAnsi="Times New Roman" w:cs="Times New Roman"/>
          <w:sz w:val="22"/>
        </w:rPr>
      </w:pPr>
      <w:r>
        <w:rPr>
          <w:rFonts w:cs="Times New Roman" w:ascii="Times New Roman" w:hAnsi="Times New Roman"/>
          <w:sz w:val="22"/>
        </w:rPr>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numPr>
          <w:ilvl w:val="0"/>
          <w:numId w:val="0"/>
        </w:numPr>
        <w:jc w:val="center"/>
        <w:outlineLvl w:val="0"/>
        <w:rPr>
          <w:rFonts w:ascii="Times New Roman" w:hAnsi="Times New Roman" w:cs="Times New Roman"/>
          <w:sz w:val="22"/>
        </w:rPr>
      </w:pPr>
      <w:r>
        <w:rPr>
          <w:rFonts w:cs="Times New Roman" w:ascii="Times New Roman" w:hAnsi="Times New Roman"/>
          <w:b/>
          <w:sz w:val="22"/>
          <w:u w:val="single"/>
        </w:rPr>
        <w:t>SCHEDULE 1</w:t>
      </w:r>
    </w:p>
    <w:p>
      <w:pPr>
        <w:pStyle w:val="Normal"/>
        <w:jc w:val="center"/>
        <w:rPr>
          <w:rFonts w:ascii="Times New Roman" w:hAnsi="Times New Roman" w:cs="Times New Roman"/>
          <w:sz w:val="22"/>
        </w:rPr>
      </w:pPr>
      <w:r>
        <w:rPr>
          <w:rFonts w:cs="Times New Roman" w:ascii="Times New Roman" w:hAnsi="Times New Roman"/>
          <w:sz w:val="22"/>
        </w:rPr>
      </w:r>
    </w:p>
    <w:p>
      <w:pPr>
        <w:pStyle w:val="Normal"/>
        <w:numPr>
          <w:ilvl w:val="0"/>
          <w:numId w:val="0"/>
        </w:numPr>
        <w:jc w:val="center"/>
        <w:outlineLvl w:val="0"/>
        <w:rPr>
          <w:rFonts w:ascii="Times New Roman" w:hAnsi="Times New Roman" w:cs="Times New Roman"/>
          <w:sz w:val="22"/>
        </w:rPr>
      </w:pPr>
      <w:r>
        <w:rPr>
          <w:rFonts w:cs="Times New Roman" w:ascii="Times New Roman" w:hAnsi="Times New Roman"/>
          <w:sz w:val="22"/>
        </w:rPr>
        <w:t>IRREVOCABLE TRANSFERABLE STANDBY LETTER OF CREDIT FORMAT</w:t>
      </w:r>
    </w:p>
    <w:p>
      <w:pPr>
        <w:pStyle w:val="Norma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[Address]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Re:  Credit No. _______________</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or</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2.</w:t>
        <w:tab/>
        <w:t>“Account Party has failed to pay to the beneficiary in accordance with the terms and provisions of the Master Agreement.”; or</w:t>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3.</w:t>
        <w:tab/>
        <w:t>“An Event of Default (as defined in the Master Agreement) has occurred and is continuing with respect to Account Party under the Master Agreement.”</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sectPr>
      <w:headerReference w:type="default" r:id="rId16"/>
      <w:headerReference w:type="first" r:id="rId17"/>
      <w:footerReference w:type="default" r:id="rId18"/>
      <w:footerReference w:type="first" r:id="rId19"/>
      <w:type w:val="nextPage"/>
      <w:pgSz w:w="12240" w:h="15840"/>
      <w:pgMar w:left="1440" w:right="1440"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/mnt/main-storage/datasets/enron-docs/doc/sampleisdaargentina.doc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/mnt/main-storage/datasets/enron-docs/doc/sampleisdaargentina.doc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/mnt/main-storage/datasets/enron-docs/doc/sampleisdaargentina.doc</w:t>
    </w:r>
    <w:r>
      <w:rPr>
        <w:sz w:val="12"/>
        <w:rFonts w:cs="Times New Roman" w:ascii="Times New Roman" w:hAnsi="Times New Roman"/>
      </w:rPr>
      <w:fldChar w:fldCharType="end"/>
    </w:r>
  </w:p>
  <w:p>
    <w:pPr>
      <w:pStyle w:val="Footer"/>
      <w:rPr>
        <w:rFonts w:ascii="Times New Roman" w:hAnsi="Times New Roman" w:cs="Times New Roman"/>
        <w:sz w:val="12"/>
      </w:rPr>
    </w:pPr>
    <w:r>
      <w:rPr>
        <w:rFonts w:cs="Times New Roman" w:ascii="Times New Roman" w:hAnsi="Times New Roman"/>
        <w:sz w:val="12"/>
      </w:rPr>
    </w:r>
  </w:p>
  <w:p>
    <w:pPr>
      <w:pStyle w:val="Footer"/>
      <w:jc w:val="center"/>
      <w:rPr>
        <w:rFonts w:ascii="Times New Roman" w:hAnsi="Times New Roman" w:cs="Times New Roman"/>
      </w:rPr>
    </w:pPr>
    <w:r>
      <w:rPr>
        <w:rFonts w:cs="Times New Roman" w:ascii="Times New Roman" w:hAnsi="Times New Roman"/>
      </w:rPr>
      <w:t>Annex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/mnt/main-storage/datasets/enron-docs/doc/sampleisdaargentina.doc</w:t>
    </w:r>
    <w:r>
      <w:rPr>
        <w:sz w:val="12"/>
        <w:rFonts w:cs="Times New Roman" w:ascii="Times New Roman" w:hAnsi="Times New Roman"/>
      </w:rPr>
      <w:fldChar w:fldCharType="end"/>
    </w:r>
  </w:p>
  <w:p>
    <w:pPr>
      <w:pStyle w:val="Normal"/>
      <w:jc w:val="center"/>
      <w:rPr>
        <w:rFonts w:ascii="Times New Roman" w:hAnsi="Times New Roman" w:cs="Times New Roman"/>
      </w:rPr>
    </w:pPr>
    <w:r>
      <w:rPr>
        <w:rFonts w:cs="Times New Roman" w:ascii="Times New Roman" w:hAnsi="Times New Roman"/>
      </w:rPr>
      <w:t>EXHIBIT A</w:t>
    </w:r>
  </w:p>
  <w:p>
    <w:pPr>
      <w:pStyle w:val="Expanded"/>
      <w:spacing w:before="0" w:after="0"/>
      <w:rPr>
        <w:rFonts w:ascii="Times New Roman" w:hAnsi="Times New Roman" w:cs="Times New Roman"/>
        <w:b w:val="false"/>
        <w:caps w:val="false"/>
        <w:smallCaps w:val="false"/>
        <w:spacing w:val="0"/>
        <w:sz w:val="20"/>
      </w:rPr>
    </w:pPr>
    <w:r>
      <w:rPr>
        <w:rFonts w:cs="Times New Roman" w:ascii="Times New Roman" w:hAnsi="Times New Roman"/>
        <w:b w:val="false"/>
        <w:caps w:val="false"/>
        <w:smallCaps w:val="false"/>
        <w:spacing w:val="0"/>
        <w:sz w:val="20"/>
      </w:rPr>
      <w:t>to Paragraph 13</w:t>
    </w:r>
  </w:p>
  <w:p>
    <w:pPr>
      <w:pStyle w:val="Normal"/>
      <w:jc w:val="center"/>
      <w:rPr>
        <w:rFonts w:ascii="Times New Roman" w:hAnsi="Times New Roman" w:cs="Times New Roman"/>
      </w:rPr>
    </w:pPr>
    <w:r>
      <w:rPr>
        <w:rFonts w:cs="Times New Roman" w:ascii="Times New Roman" w:hAnsi="Times New Roman"/>
      </w:rPr>
      <w:t>of Annex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/mnt/main-storage/datasets/enron-docs/doc/sampleisdaargentina.doc</w:t>
    </w:r>
    <w:r>
      <w:rPr>
        <w:sz w:val="12"/>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t>Exhibit A</w:t>
    </w:r>
  </w:p>
  <w:p>
    <w:pPr>
      <w:pStyle w:val="Footer"/>
      <w:jc w:val="center"/>
      <w:rPr/>
    </w:pPr>
    <w:r>
      <w:rPr>
        <w:rFonts w:cs="Times New Roman"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b/>
      </w:rPr>
    </w:pPr>
    <w:r>
      <w:rPr>
        <w:b/>
      </w:rPr>
      <w:t>THIS SAMPLE CONTRACT DOES NOT INCLUDE ALL PROVISIONS THAT ARE NECESSARY TO IMPLEMENT TRANSACTIONS AND IS SUBJECT TO CREDIT REVIEW OF COUNTERPARTY.  THIS FORM OF CONTRACT IS FOR DISCUSSION PURPOSES ONLY AND MAY NOT BE EXECUTED FOR ANY PURPOSE.</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rPr>
    </w:pPr>
    <w:r>
      <w:rPr/>
      <w:t>Enron Capital &amp; Trade Resources Corp.</w:t>
    </w:r>
    <w:r>
      <w:rPr>
        <w:b/>
      </w:rPr>
      <w:tab/>
      <w:tab/>
    </w:r>
    <w:r>
      <w:rPr>
        <w:b/>
        <w:u w:val="single"/>
      </w:rPr>
      <w:t>ATTACHMENT A</w:t>
    </w:r>
  </w:p>
  <w:p>
    <w:pPr>
      <w:pStyle w:val="Header"/>
      <w:tabs>
        <w:tab w:val="clear" w:pos="8640"/>
        <w:tab w:val="center" w:pos="4320" w:leader="none"/>
        <w:tab w:val="right" w:pos="9360" w:leader="none"/>
      </w:tabs>
      <w:rPr/>
    </w:pPr>
    <w:r>
      <w:rPr/>
      <w:t>_________________, 1999</w:t>
    </w:r>
    <w:r>
      <w:rPr>
        <w:b/>
      </w:rPr>
      <w:tab/>
      <w:tab/>
      <w:t>FORM OF LEGAL OPINION</w:t>
    </w:r>
  </w:p>
  <w:p>
    <w:pPr>
      <w:pStyle w:val="Header"/>
      <w:rPr/>
    </w:pPr>
    <w:r>
      <w:rPr/>
      <w:t>Page 3</w:t>
    </w:r>
  </w:p>
  <w:p>
    <w:pPr>
      <w:pStyle w:val="Header"/>
      <w:rPr/>
    </w:pPr>
    <w:r>
      <w:rPr/>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b/>
      </w:rPr>
    </w:pPr>
    <w:r>
      <w:rPr>
        <w:b/>
      </w:rPr>
      <w:t>THIS SAMPLE CONTRACT DOES NOT INCLUDE ALL PROVISIONS THAT ARE NECESSARY TO IMPLEMENT TRANSACTIONS AND IS SUBJECT TO CREDIT REVIEW OF COUNTERPARTY.  THIS FORM OF CONTRACT IS FOR DISCUSSION PURPOSES ONLY AND MAY NOT BE EXECUTED FOR ANY PURPOSE.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b/>
      </w:rPr>
    </w:pPr>
    <w:r>
      <w:rPr>
        <w:b/>
      </w:rPr>
      <w:t>THIS SAMPLE CONTRACT DOES NOT INCLUDE ALL PROVISIONS THAT ARE NECESSARY TO IMPLEMENT TRANSACTIONS AND IS SUBJECT TO CREDIT REVIEW OF COUNTERPARTY.  THIS FORM OF CONTRACT IS FOR DISCUSSION PURPOSES ONLY AND MAY NOT BE EXECUTED FOR ANY PURPOSE.</w:t>
    </w:r>
  </w:p>
  <w:p>
    <w:pPr>
      <w:pStyle w:val="Header"/>
      <w:rPr>
        <w:rFonts w:ascii="Times New Roman" w:hAnsi="Times New Roman" w:cs="Times New Roman"/>
        <w:b/>
        <w:sz w:val="24"/>
      </w:rPr>
    </w:pPr>
    <w:r>
      <w:rPr>
        <w:rFonts w:cs="Times New Roman" w:ascii="Times New Roman" w:hAnsi="Times New Roman"/>
        <w:b/>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b/>
      </w:rPr>
    </w:pPr>
    <w:r>
      <w:rPr>
        <w:b/>
      </w:rPr>
      <w:t>THIS SAMPLE CONTRACT DOES NOT INCLUDE ALL PROVISIONS THAT ARE NECESSARY TO IMPLEMENT TRANSACTIONS AND IS SUBJECT TO CREDIT REVIEW OF COUNTERPARTY.  THIS FORM OF CONTRACT IS FOR DISCUSSION PURPOSES ONLY AND MAY NOT BE EXECUTED FOR ANY PURPOSE.</w:t>
    </w:r>
  </w:p>
  <w:p>
    <w:pPr>
      <w:pStyle w:val="Header"/>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440"/>
        </w:tabs>
        <w:ind w:start="1440" w:hanging="720"/>
      </w:pPr>
      <w:rPr/>
    </w:lvl>
  </w:abstractNum>
  <w:abstractNum w:abstractNumId="3">
    <w:lvl w:ilvl="0">
      <w:start w:val="9"/>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before="240" w:after="0"/>
      <w:ind w:firstLine="720" w:start="0" w:end="0"/>
      <w:jc w:val="both"/>
    </w:pPr>
    <w:rPr>
      <w:rFonts w:ascii="Times New Roman" w:hAnsi="Times New Roman" w:cs="Times New Roman"/>
      <w:color w:val="000000"/>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1999-08-24T19:51:00Z</dcterms:created>
  <dc:creator>jdobern</dc:creator>
  <dc:description>10/14/93</dc:description>
  <dc:language>en-CA</dc:language>
  <cp:lastModifiedBy>sbailey2</cp:lastModifiedBy>
  <cp:lastPrinted>1999-08-24T17:27:00Z</cp:lastPrinted>
  <dcterms:modified xsi:type="dcterms:W3CDTF">1999-08-24T20:01:00Z</dcterms:modified>
  <cp:revision>5</cp:revision>
  <dc:subject>2nd Draft 8/10/93rmj</dc:subject>
  <dc:title>SCHEDULE TO THE MASTER AGREEMENT</dc:title>
</cp:coreProperties>
</file>