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pPr>
      <w:r>
        <w:rPr>
          <w:sz w:val="22"/>
        </w:rPr>
        <w:t>Date:</w:t>
        <w:tab/>
        <w:tab/>
      </w:r>
      <w:r>
        <w:rPr>
          <w:i/>
          <w:sz w:val="22"/>
        </w:rPr>
        <w:t>[Date]</w:t>
      </w:r>
    </w:p>
    <w:p>
      <w:pPr>
        <w:pStyle w:val="Normal"/>
        <w:rPr/>
      </w:pPr>
      <w:r>
        <w:rPr>
          <w:sz w:val="22"/>
        </w:rPr>
        <w:t>To:</w:t>
        <w:tab/>
        <w:tab/>
      </w:r>
      <w:r>
        <w:rPr>
          <w:i/>
          <w:sz w:val="22"/>
        </w:rPr>
        <w:t>[Counterparty Name]</w:t>
      </w:r>
      <w:r>
        <w:rPr>
          <w:sz w:val="22"/>
        </w:rPr>
        <w:t xml:space="preserve"> ("Counterparty")</w:t>
      </w:r>
    </w:p>
    <w:p>
      <w:pPr>
        <w:pStyle w:val="Normal"/>
        <w:rPr/>
      </w:pPr>
      <w:r>
        <w:rPr>
          <w:sz w:val="22"/>
        </w:rPr>
        <w:t>Attention:</w:t>
        <w:tab/>
      </w:r>
      <w:r>
        <w:rPr>
          <w:i/>
          <w:sz w:val="22"/>
        </w:rPr>
        <w:t>[Counterparty Contact]</w:t>
      </w:r>
    </w:p>
    <w:p>
      <w:pPr>
        <w:pStyle w:val="Normal"/>
        <w:rPr>
          <w:sz w:val="22"/>
        </w:rPr>
      </w:pPr>
      <w:r>
        <w:rPr>
          <w:sz w:val="22"/>
        </w:rPr>
        <w:t>Fax No.:</w:t>
        <w:tab/>
      </w:r>
      <w:r>
        <w:rPr>
          <w:i/>
          <w:sz w:val="22"/>
        </w:rPr>
        <w:t>[Counterparty Fax]</w:t>
      </w:r>
    </w:p>
    <w:p>
      <w:pPr>
        <w:pStyle w:val="Normal"/>
        <w:rPr>
          <w:sz w:val="22"/>
        </w:rPr>
      </w:pPr>
      <w:r>
        <w:rPr>
          <w:sz w:val="22"/>
        </w:rPr>
        <w:t>From:</w:t>
        <w:tab/>
        <w:tab/>
        <w:t>Enron North America Corp. ("ENA")</w:t>
      </w:r>
    </w:p>
    <w:p>
      <w:pPr>
        <w:pStyle w:val="Normal"/>
        <w:rPr/>
      </w:pPr>
      <w:r>
        <w:rPr>
          <w:sz w:val="22"/>
        </w:rPr>
        <w:t>Re:</w:t>
        <w:tab/>
        <w:tab/>
        <w:t xml:space="preserve">Commodity Swap </w:t>
      </w:r>
      <w:r>
        <w:rPr>
          <w:i/>
          <w:sz w:val="22"/>
        </w:rPr>
        <w:t>[Deal No.]</w:t>
      </w:r>
    </w:p>
    <w:p>
      <w:pPr>
        <w:pStyle w:val="Normal"/>
        <w:rPr>
          <w:i/>
          <w:i/>
          <w:sz w:val="22"/>
        </w:rPr>
      </w:pPr>
      <w:r>
        <w:rPr>
          <w:i/>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pPr>
      <w:r>
        <w:rPr>
          <w:sz w:val="22"/>
        </w:rPr>
        <w:tab/>
        <w:t xml:space="preserve">1.  This Confirmation supplements, forms part of, and is subject to, the ISDA Master Agreement dated as of </w:t>
      </w:r>
      <w:r>
        <w:rPr>
          <w:i/>
          <w:sz w:val="22"/>
        </w:rPr>
        <w:t>[             ]</w:t>
      </w:r>
      <w:r>
        <w:rPr>
          <w:sz w:val="22"/>
        </w:rPr>
        <w:t>,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sz w:val="22"/>
              </w:rPr>
              <w:t>10,000</w:t>
            </w:r>
            <w:r>
              <w:rPr>
                <w:i/>
                <w:sz w:val="22"/>
              </w:rPr>
              <w:t xml:space="preserve"> </w:t>
            </w:r>
            <w:r>
              <w:rPr>
                <w:sz w:val="22"/>
              </w:rPr>
              <w:t>MMBtu multiplied by the number of days in the relevant Calculation Period</w:t>
            </w:r>
          </w:p>
        </w:tc>
      </w:tr>
    </w:tbl>
    <w:p>
      <w:pPr>
        <w:pStyle w:val="Normal"/>
        <w:rPr>
          <w:sz w:val="22"/>
        </w:rPr>
      </w:pPr>
      <w:r>
        <w:rPr>
          <w:sz w:val="22"/>
        </w:rPr>
      </w:r>
    </w:p>
    <w:p>
      <w:pPr>
        <w:pStyle w:val="Normal"/>
        <w:ind w:firstLine="720" w:end="0"/>
        <w:rPr>
          <w:sz w:val="22"/>
        </w:rPr>
      </w:pPr>
      <w:r>
        <w:rPr>
          <w:sz w:val="22"/>
        </w:rPr>
        <w:t>Commodity:</w:t>
        <w:tab/>
        <w:tab/>
        <w:tab/>
        <w:tab/>
        <w:t>Natural Gas</w:t>
      </w:r>
    </w:p>
    <w:p>
      <w:pPr>
        <w:pStyle w:val="Normal"/>
        <w:rPr>
          <w:sz w:val="22"/>
        </w:rPr>
      </w:pPr>
      <w:r>
        <w:rPr>
          <w:sz w:val="22"/>
        </w:rPr>
      </w:r>
    </w:p>
    <w:p>
      <w:pPr>
        <w:pStyle w:val="Normal"/>
        <w:ind w:firstLine="720" w:end="0"/>
        <w:rPr>
          <w:sz w:val="22"/>
        </w:rPr>
      </w:pPr>
      <w:r>
        <w:rPr>
          <w:sz w:val="22"/>
        </w:rPr>
        <w:t>Commodity Unit:</w:t>
        <w:tab/>
        <w:tab/>
        <w:tab/>
        <w:t>MMBtu (One Million British Thermal Units)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i/>
                <w:i/>
                <w:sz w:val="22"/>
              </w:rPr>
            </w:pPr>
            <w:r>
              <w:rPr>
                <w:i/>
                <w:sz w:val="22"/>
              </w:rPr>
              <w:t>[               ]</w:t>
            </w:r>
          </w:p>
        </w:tc>
      </w:tr>
      <w:tr>
        <w:trPr/>
        <w:tc>
          <w:tcPr>
            <w:tcW w:w="4338" w:type="dxa"/>
            <w:tcBorders/>
          </w:tcPr>
          <w:p>
            <w:pPr>
              <w:pStyle w:val="Normal"/>
              <w:snapToGrid w:val="false"/>
              <w:ind w:firstLine="720" w:end="0"/>
              <w:jc w:val="both"/>
              <w:rPr>
                <w:i/>
                <w:i/>
                <w:sz w:val="22"/>
              </w:rPr>
            </w:pPr>
            <w:r>
              <w:rPr>
                <w:i/>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May 01, 2000</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May 31, 2000</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The calendar month beginning with May 01, 2000 and ending on May 31, 2000</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B</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fldChar w:fldCharType="begin"/>
            </w:r>
            <w:r>
              <w:rPr>
                <w:sz w:val="22"/>
              </w:rPr>
              <w:instrText xml:space="preserve"> MERGEFIELD FixedPrice </w:instrText>
            </w:r>
            <w:r>
              <w:rPr>
                <w:sz w:val="22"/>
              </w:rPr>
              <w:fldChar w:fldCharType="separate"/>
            </w:r>
            <w:r>
              <w:rPr>
                <w:sz w:val="22"/>
              </w:rPr>
              <w:t>US Dollars $3.07000 per MMBtu</w:t>
            </w:r>
            <w:r>
              <w:rPr>
                <w:sz w:val="22"/>
              </w:rPr>
              <w:fldChar w:fldCharType="end"/>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A</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settlement price for the last scheduled Trading Day of the NYMEX Henry Hub Natural Gas Futures Contract for the applicable Calculation Period</w:t>
            </w:r>
          </w:p>
        </w:tc>
      </w:tr>
      <w:tr>
        <w:trPr/>
        <w:tc>
          <w:tcPr>
            <w:tcW w:w="4338" w:type="dxa"/>
            <w:tcBorders/>
          </w:tcPr>
          <w:p>
            <w:pPr>
              <w:pStyle w:val="Normal"/>
              <w:ind w:firstLine="720" w:end="0"/>
              <w:rPr>
                <w:sz w:val="22"/>
              </w:rPr>
            </w:pP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02" w:type="dxa"/>
            <w:tcBorders/>
          </w:tcPr>
          <w:p>
            <w:pPr>
              <w:pStyle w:val="Normal"/>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rPr/>
            </w:pPr>
            <w:r>
              <w:rPr>
                <w:sz w:val="22"/>
              </w:rPr>
              <w:t xml:space="preserve">Deal No. </w:t>
            </w:r>
            <w:r>
              <w:rPr>
                <w:i/>
                <w:sz w:val="22"/>
              </w:rPr>
              <w:t>[          ]</w:t>
            </w:r>
            <w:r>
              <w:rPr>
                <w:sz w:val="22"/>
              </w:rPr>
              <w:t xml:space="preserve"> </w:t>
            </w:r>
          </w:p>
          <w:p>
            <w:pPr>
              <w:pStyle w:val="Normal"/>
              <w:rPr>
                <w:sz w:val="22"/>
              </w:rPr>
            </w:pPr>
            <w:r>
              <w:rPr>
                <w:sz w:val="22"/>
              </w:rPr>
              <w:t>Confirmed as of the date first above written:</w:t>
            </w:r>
          </w:p>
          <w:p>
            <w:pPr>
              <w:pStyle w:val="Normal"/>
              <w:rPr>
                <w:sz w:val="22"/>
              </w:rPr>
            </w:pPr>
            <w:r>
              <w:rPr>
                <w:sz w:val="22"/>
              </w:rPr>
            </w:r>
          </w:p>
          <w:p>
            <w:pPr>
              <w:pStyle w:val="Normal"/>
              <w:rPr>
                <w:i/>
                <w:i/>
                <w:sz w:val="22"/>
              </w:rPr>
            </w:pPr>
            <w:r>
              <w:rPr>
                <w:i/>
                <w:sz w:val="22"/>
              </w:rPr>
              <w:t>[Counterparty Name]</w:t>
            </w:r>
          </w:p>
          <w:p>
            <w:pPr>
              <w:pStyle w:val="Normal"/>
              <w:rPr>
                <w:i/>
                <w:i/>
                <w:sz w:val="22"/>
              </w:rPr>
            </w:pPr>
            <w:r>
              <w:rPr>
                <w:i/>
                <w:sz w:val="22"/>
              </w:rPr>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p>
      <w:pPr>
        <w:pStyle w:val="Normal"/>
        <w:rPr>
          <w:sz w:val="22"/>
        </w:rPr>
      </w:pPr>
      <w:r>
        <w:rPr>
          <w:sz w:val="22"/>
        </w:rPr>
        <w:tab/>
        <w:tab/>
        <w:tab/>
        <w:tab/>
        <w:tab/>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2000-04-21T17:04:00Z</dcterms:created>
  <dc:creator>ECT</dc:creator>
  <dc:description/>
  <dc:language>en-CA</dc:language>
  <cp:lastModifiedBy>sshackl</cp:lastModifiedBy>
  <dcterms:modified xsi:type="dcterms:W3CDTF">2000-04-21T17:04:00Z</dcterms:modified>
  <cp:revision>2</cp:revision>
  <dc:subject>Enron Capital &amp; Trade Resources International Corp.</dc:subject>
  <dc:title>N36759.1</dc:title>
</cp:coreProperties>
</file>