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center"/>
        <w:rPr>
          <w:sz w:val="22"/>
        </w:rPr>
      </w:pPr>
      <w:r>
        <w:rPr>
          <w:sz w:val="22"/>
        </w:rPr>
      </w:r>
    </w:p>
    <w:p>
      <w:pPr>
        <w:pStyle w:val="Normal"/>
        <w:jc w:val="center"/>
        <w:rPr>
          <w:sz w:val="22"/>
        </w:rPr>
      </w:pPr>
      <w:r>
        <w:rPr>
          <w:sz w:val="22"/>
        </w:rPr>
        <w:t>CONFIRMATION</w:t>
      </w:r>
    </w:p>
    <w:p>
      <w:pPr>
        <w:pStyle w:val="Normal"/>
        <w:jc w:val="center"/>
        <w:rPr>
          <w:sz w:val="22"/>
        </w:rPr>
      </w:pPr>
      <w:r>
        <w:rPr>
          <w:sz w:val="22"/>
        </w:rPr>
      </w:r>
    </w:p>
    <w:p>
      <w:pPr>
        <w:pStyle w:val="Normal"/>
        <w:jc w:val="both"/>
        <w:rPr>
          <w:sz w:val="22"/>
        </w:rPr>
      </w:pPr>
      <w:r>
        <w:rPr>
          <w:sz w:val="22"/>
        </w:rPr>
        <w:t xml:space="preserve">Date: </w:t>
        <w:tab/>
        <w:tab/>
      </w:r>
      <w:r>
        <w:rPr>
          <w:color w:val="FF0000"/>
          <w:sz w:val="22"/>
        </w:rPr>
        <w:t>November 16, 1998</w:t>
      </w:r>
    </w:p>
    <w:p>
      <w:pPr>
        <w:pStyle w:val="Normal"/>
        <w:jc w:val="both"/>
        <w:rPr>
          <w:sz w:val="22"/>
        </w:rPr>
      </w:pPr>
      <w:r>
        <w:rPr>
          <w:sz w:val="22"/>
        </w:rPr>
      </w:r>
    </w:p>
    <w:p>
      <w:pPr>
        <w:pStyle w:val="Normal"/>
        <w:jc w:val="both"/>
        <w:rPr>
          <w:sz w:val="22"/>
        </w:rPr>
      </w:pPr>
      <w:r>
        <w:rPr>
          <w:sz w:val="22"/>
        </w:rPr>
        <w:t xml:space="preserve">To: </w:t>
        <w:tab/>
        <w:tab/>
      </w:r>
      <w:r>
        <w:rPr>
          <w:color w:val="FF0000"/>
          <w:sz w:val="22"/>
        </w:rPr>
        <w:t>Enron Capital &amp; Trade Resources Canada Corp. (“Party B”)</w:t>
      </w:r>
    </w:p>
    <w:p>
      <w:pPr>
        <w:pStyle w:val="Normal"/>
        <w:jc w:val="both"/>
        <w:rPr>
          <w:sz w:val="22"/>
        </w:rPr>
      </w:pPr>
      <w:r>
        <w:rPr>
          <w:sz w:val="22"/>
        </w:rPr>
      </w:r>
    </w:p>
    <w:p>
      <w:pPr>
        <w:pStyle w:val="Normal"/>
        <w:jc w:val="both"/>
        <w:rPr>
          <w:sz w:val="22"/>
        </w:rPr>
      </w:pPr>
      <w:r>
        <w:rPr>
          <w:sz w:val="22"/>
        </w:rPr>
        <w:t>Attention:</w:t>
        <w:tab/>
      </w:r>
      <w:r>
        <w:rPr>
          <w:color w:val="FF0000"/>
          <w:sz w:val="22"/>
        </w:rPr>
        <w:t>Geof Storey</w:t>
      </w:r>
    </w:p>
    <w:p>
      <w:pPr>
        <w:pStyle w:val="Normal"/>
        <w:jc w:val="both"/>
        <w:rPr>
          <w:sz w:val="22"/>
        </w:rPr>
      </w:pPr>
      <w:r>
        <w:rPr>
          <w:sz w:val="22"/>
        </w:rPr>
      </w:r>
    </w:p>
    <w:p>
      <w:pPr>
        <w:pStyle w:val="Normal"/>
        <w:jc w:val="both"/>
        <w:rPr>
          <w:sz w:val="22"/>
        </w:rPr>
      </w:pPr>
      <w:r>
        <w:rPr>
          <w:sz w:val="22"/>
        </w:rPr>
        <w:t>From:</w:t>
        <w:tab/>
        <w:tab/>
        <w:t>Risk Management &amp; Trading Corp. (“Party A”)</w:t>
      </w:r>
    </w:p>
    <w:p>
      <w:pPr>
        <w:pStyle w:val="Normal"/>
        <w:jc w:val="both"/>
        <w:rPr>
          <w:sz w:val="22"/>
        </w:rPr>
      </w:pPr>
      <w:r>
        <w:rPr>
          <w:sz w:val="22"/>
        </w:rPr>
      </w:r>
    </w:p>
    <w:p>
      <w:pPr>
        <w:pStyle w:val="Normal"/>
        <w:jc w:val="both"/>
        <w:rPr>
          <w:sz w:val="22"/>
        </w:rPr>
      </w:pPr>
      <w:r>
        <w:rPr>
          <w:sz w:val="22"/>
        </w:rPr>
        <w:t>RE:</w:t>
        <w:tab/>
        <w:tab/>
        <w:t>Currency Transaction Contract No. M125385</w:t>
      </w:r>
    </w:p>
    <w:p>
      <w:pPr>
        <w:pStyle w:val="Normal"/>
        <w:jc w:val="both"/>
        <w:rPr>
          <w:sz w:val="22"/>
        </w:rPr>
      </w:pPr>
      <w:r>
        <w:rPr>
          <w:sz w:val="22"/>
        </w:rPr>
      </w:r>
    </w:p>
    <w:p>
      <w:pPr>
        <w:pStyle w:val="Normal"/>
        <w:jc w:val="both"/>
        <w:rPr>
          <w:sz w:val="22"/>
        </w:rPr>
      </w:pPr>
      <w:r>
        <w:rPr>
          <w:sz w:val="22"/>
        </w:rPr>
        <w:t>The purpose of this letter is to confirm the terms and conditions of the Transaction entered into between us on the Trade Date specified below.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 All capitalized terms that are not otherwise defined herein shall have the meanings given to them in the ISDA Master Agreement specified below.</w:t>
      </w:r>
    </w:p>
    <w:p>
      <w:pPr>
        <w:pStyle w:val="Normal"/>
        <w:jc w:val="both"/>
        <w:rPr>
          <w:sz w:val="22"/>
        </w:rPr>
      </w:pPr>
      <w:r>
        <w:rPr>
          <w:sz w:val="22"/>
        </w:rPr>
      </w:r>
    </w:p>
    <w:p>
      <w:pPr>
        <w:pStyle w:val="Normal"/>
        <w:jc w:val="both"/>
        <w:rPr>
          <w:sz w:val="22"/>
        </w:rPr>
      </w:pPr>
      <w:r>
        <w:rPr>
          <w:sz w:val="22"/>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jc w:val="both"/>
        <w:rPr>
          <w:sz w:val="22"/>
        </w:rPr>
      </w:pPr>
      <w:r>
        <w:rPr>
          <w:sz w:val="22"/>
        </w:rPr>
        <w:t>2.</w:t>
        <w:tab/>
        <w:t>The terms of the particular Transaction to which this Confirmation relates are as follows:</w:t>
      </w:r>
    </w:p>
    <w:p>
      <w:pPr>
        <w:pStyle w:val="Normal"/>
        <w:jc w:val="both"/>
        <w:rPr>
          <w:b/>
          <w:color w:val="FF0000"/>
          <w:sz w:val="22"/>
        </w:rPr>
      </w:pPr>
      <w:r>
        <w:rPr>
          <w:b/>
          <w:color w:val="FF0000"/>
          <w:sz w:val="22"/>
        </w:rPr>
      </w:r>
    </w:p>
    <w:p>
      <w:pPr>
        <w:pStyle w:val="Heading1"/>
        <w:ind w:hanging="0" w:start="0"/>
        <w:rPr/>
      </w:pPr>
      <w:r>
        <w:rPr/>
        <w:t>Contract No. M125385</w:t>
      </w:r>
    </w:p>
    <w:p>
      <w:pPr>
        <w:pStyle w:val="Normal"/>
        <w:jc w:val="both"/>
        <w:rPr>
          <w:b/>
          <w:u w:val="single"/>
        </w:rPr>
      </w:pPr>
      <w:r>
        <w:rPr>
          <w:b/>
          <w:u w:val="single"/>
        </w:rPr>
      </w:r>
    </w:p>
    <w:tbl>
      <w:tblPr>
        <w:tblW w:w="8624" w:type="dxa"/>
        <w:jc w:val="start"/>
        <w:tblInd w:w="1" w:type="dxa"/>
        <w:tblLayout w:type="fixed"/>
        <w:tblCellMar>
          <w:top w:w="0" w:type="dxa"/>
          <w:start w:w="92" w:type="dxa"/>
          <w:bottom w:w="0" w:type="dxa"/>
          <w:end w:w="92" w:type="dxa"/>
        </w:tblCellMar>
      </w:tblPr>
      <w:tblGrid>
        <w:gridCol w:w="3691"/>
        <w:gridCol w:w="4933"/>
      </w:tblGrid>
      <w:tr>
        <w:trPr/>
        <w:tc>
          <w:tcPr>
            <w:tcW w:w="3691" w:type="dxa"/>
            <w:tcBorders/>
          </w:tcPr>
          <w:p>
            <w:pPr>
              <w:pStyle w:val="Normal"/>
              <w:jc w:val="both"/>
              <w:rPr>
                <w:sz w:val="22"/>
              </w:rPr>
            </w:pPr>
            <w:r>
              <w:rPr>
                <w:sz w:val="22"/>
              </w:rPr>
              <w:t>Trade Date:</w:t>
            </w:r>
          </w:p>
          <w:p>
            <w:pPr>
              <w:pStyle w:val="Normal"/>
              <w:jc w:val="both"/>
              <w:rPr>
                <w:sz w:val="22"/>
              </w:rPr>
            </w:pPr>
            <w:r>
              <w:rPr>
                <w:sz w:val="22"/>
              </w:rPr>
            </w:r>
          </w:p>
        </w:tc>
        <w:tc>
          <w:tcPr>
            <w:tcW w:w="4933" w:type="dxa"/>
            <w:tcBorders/>
          </w:tcPr>
          <w:p>
            <w:pPr>
              <w:pStyle w:val="Normal"/>
              <w:jc w:val="both"/>
              <w:rPr>
                <w:sz w:val="22"/>
              </w:rPr>
            </w:pPr>
            <w:r>
              <w:rPr>
                <w:sz w:val="22"/>
              </w:rPr>
              <w:t>November 16, 1998</w:t>
            </w:r>
          </w:p>
        </w:tc>
      </w:tr>
      <w:tr>
        <w:trPr/>
        <w:tc>
          <w:tcPr>
            <w:tcW w:w="3691" w:type="dxa"/>
            <w:tcBorders/>
          </w:tcPr>
          <w:p>
            <w:pPr>
              <w:pStyle w:val="Normal"/>
              <w:jc w:val="both"/>
              <w:rPr>
                <w:sz w:val="22"/>
              </w:rPr>
            </w:pPr>
            <w:r>
              <w:rPr>
                <w:sz w:val="22"/>
              </w:rPr>
              <w:t>Effective Date:</w:t>
            </w:r>
          </w:p>
          <w:p>
            <w:pPr>
              <w:pStyle w:val="Normal"/>
              <w:jc w:val="both"/>
              <w:rPr>
                <w:sz w:val="22"/>
              </w:rPr>
            </w:pPr>
            <w:r>
              <w:rPr>
                <w:sz w:val="22"/>
              </w:rPr>
            </w:r>
          </w:p>
        </w:tc>
        <w:tc>
          <w:tcPr>
            <w:tcW w:w="4933" w:type="dxa"/>
            <w:tcBorders/>
          </w:tcPr>
          <w:p>
            <w:pPr>
              <w:pStyle w:val="Normal"/>
              <w:jc w:val="both"/>
              <w:rPr>
                <w:sz w:val="22"/>
              </w:rPr>
            </w:pPr>
            <w:r>
              <w:rPr>
                <w:sz w:val="22"/>
              </w:rPr>
              <w:t>December 1, 1998</w:t>
            </w:r>
          </w:p>
        </w:tc>
      </w:tr>
      <w:tr>
        <w:trPr/>
        <w:tc>
          <w:tcPr>
            <w:tcW w:w="3691" w:type="dxa"/>
            <w:tcBorders/>
          </w:tcPr>
          <w:p>
            <w:pPr>
              <w:pStyle w:val="BodyText"/>
              <w:rPr/>
            </w:pPr>
            <w:r>
              <w:rPr/>
              <w:t>Termination Date:</w:t>
            </w:r>
          </w:p>
          <w:p>
            <w:pPr>
              <w:pStyle w:val="Normal"/>
              <w:jc w:val="both"/>
              <w:rPr>
                <w:sz w:val="22"/>
              </w:rPr>
            </w:pPr>
            <w:r>
              <w:rPr>
                <w:sz w:val="22"/>
              </w:rPr>
            </w:r>
          </w:p>
        </w:tc>
        <w:tc>
          <w:tcPr>
            <w:tcW w:w="4933" w:type="dxa"/>
            <w:tcBorders/>
          </w:tcPr>
          <w:p>
            <w:pPr>
              <w:pStyle w:val="Normal"/>
              <w:jc w:val="both"/>
              <w:rPr>
                <w:sz w:val="22"/>
              </w:rPr>
            </w:pPr>
            <w:r>
              <w:rPr>
                <w:sz w:val="22"/>
              </w:rPr>
              <w:t xml:space="preserve">October 31, 1999, subject to adjustment in accordance with the Modified Following Business Day Convention </w:t>
            </w:r>
          </w:p>
        </w:tc>
      </w:tr>
      <w:tr>
        <w:trPr/>
        <w:tc>
          <w:tcPr>
            <w:tcW w:w="3691" w:type="dxa"/>
            <w:tcBorders/>
          </w:tcPr>
          <w:p>
            <w:pPr>
              <w:pStyle w:val="Normal"/>
              <w:jc w:val="both"/>
              <w:rPr>
                <w:b/>
                <w:sz w:val="22"/>
              </w:rPr>
            </w:pPr>
            <w:r>
              <w:rPr>
                <w:b/>
                <w:sz w:val="22"/>
              </w:rPr>
              <w:t>Fixed Amounts:</w:t>
            </w:r>
          </w:p>
          <w:p>
            <w:pPr>
              <w:pStyle w:val="Normal"/>
              <w:jc w:val="both"/>
              <w:rPr>
                <w:b/>
                <w:sz w:val="22"/>
              </w:rPr>
            </w:pPr>
            <w:r>
              <w:rPr>
                <w:b/>
                <w:sz w:val="22"/>
              </w:rPr>
            </w:r>
          </w:p>
        </w:tc>
        <w:tc>
          <w:tcPr>
            <w:tcW w:w="4933" w:type="dxa"/>
            <w:tcBorders/>
          </w:tcPr>
          <w:p>
            <w:pPr>
              <w:pStyle w:val="Normal"/>
              <w:snapToGrid w:val="false"/>
              <w:jc w:val="both"/>
              <w:rPr>
                <w:sz w:val="22"/>
              </w:rPr>
            </w:pPr>
            <w:r>
              <w:rPr>
                <w:sz w:val="22"/>
              </w:rPr>
            </w:r>
          </w:p>
        </w:tc>
      </w:tr>
      <w:tr>
        <w:trPr/>
        <w:tc>
          <w:tcPr>
            <w:tcW w:w="3691" w:type="dxa"/>
            <w:tcBorders/>
          </w:tcPr>
          <w:p>
            <w:pPr>
              <w:pStyle w:val="Normal"/>
              <w:ind w:firstLine="719" w:end="0"/>
              <w:jc w:val="both"/>
              <w:rPr>
                <w:sz w:val="22"/>
              </w:rPr>
            </w:pPr>
            <w:r>
              <w:rPr>
                <w:sz w:val="22"/>
              </w:rPr>
              <w:t>Fixed Rate Payer:</w:t>
            </w:r>
          </w:p>
        </w:tc>
        <w:tc>
          <w:tcPr>
            <w:tcW w:w="4933" w:type="dxa"/>
            <w:tcBorders/>
          </w:tcPr>
          <w:p>
            <w:pPr>
              <w:pStyle w:val="Normal"/>
              <w:jc w:val="both"/>
              <w:rPr>
                <w:sz w:val="22"/>
              </w:rPr>
            </w:pPr>
            <w:r>
              <w:rPr>
                <w:sz w:val="22"/>
              </w:rPr>
              <w:t>Party A</w:t>
            </w:r>
          </w:p>
          <w:p>
            <w:pPr>
              <w:pStyle w:val="Normal"/>
              <w:jc w:val="both"/>
              <w:rPr>
                <w:sz w:val="22"/>
              </w:rPr>
            </w:pPr>
            <w:r>
              <w:rPr>
                <w:sz w:val="22"/>
              </w:rPr>
            </w:r>
          </w:p>
        </w:tc>
      </w:tr>
      <w:tr>
        <w:trPr/>
        <w:tc>
          <w:tcPr>
            <w:tcW w:w="3691" w:type="dxa"/>
            <w:tcBorders/>
          </w:tcPr>
          <w:p>
            <w:pPr>
              <w:pStyle w:val="BodyTextIndent"/>
              <w:ind w:hanging="0" w:start="719" w:end="0"/>
              <w:rPr>
                <w:sz w:val="22"/>
              </w:rPr>
            </w:pPr>
            <w:r>
              <w:rPr>
                <w:sz w:val="22"/>
              </w:rPr>
              <w:t>Fixed Amounts:</w:t>
            </w:r>
          </w:p>
          <w:p>
            <w:pPr>
              <w:pStyle w:val="Normal"/>
              <w:ind w:firstLine="629" w:end="0"/>
              <w:rPr>
                <w:sz w:val="22"/>
              </w:rPr>
            </w:pPr>
            <w:r>
              <w:rPr>
                <w:sz w:val="22"/>
              </w:rPr>
            </w:r>
          </w:p>
        </w:tc>
        <w:tc>
          <w:tcPr>
            <w:tcW w:w="4933" w:type="dxa"/>
            <w:tcBorders/>
          </w:tcPr>
          <w:p>
            <w:pPr>
              <w:pStyle w:val="Normal"/>
              <w:jc w:val="both"/>
              <w:rPr>
                <w:sz w:val="22"/>
              </w:rPr>
            </w:pPr>
            <w:r>
              <w:rPr>
                <w:sz w:val="22"/>
              </w:rPr>
              <w:t>CAD 775,100.00</w:t>
            </w:r>
          </w:p>
        </w:tc>
      </w:tr>
      <w:tr>
        <w:trPr/>
        <w:tc>
          <w:tcPr>
            <w:tcW w:w="3691" w:type="dxa"/>
            <w:tcBorders/>
          </w:tcPr>
          <w:p>
            <w:pPr>
              <w:pStyle w:val="Normal"/>
              <w:ind w:start="719" w:end="0"/>
              <w:rPr>
                <w:sz w:val="22"/>
              </w:rPr>
            </w:pPr>
            <w:r>
              <w:rPr>
                <w:sz w:val="22"/>
              </w:rPr>
              <w:t xml:space="preserve">Fixed Rate Payer </w:t>
            </w:r>
          </w:p>
          <w:p>
            <w:pPr>
              <w:pStyle w:val="Normal"/>
              <w:ind w:start="719" w:end="0"/>
              <w:rPr>
                <w:sz w:val="22"/>
              </w:rPr>
            </w:pPr>
            <w:r>
              <w:rPr>
                <w:sz w:val="22"/>
              </w:rPr>
              <w:t>Period End Dates:</w:t>
            </w:r>
          </w:p>
        </w:tc>
        <w:tc>
          <w:tcPr>
            <w:tcW w:w="4933" w:type="dxa"/>
            <w:tcBorders/>
          </w:tcPr>
          <w:p>
            <w:pPr>
              <w:pStyle w:val="Normal"/>
              <w:snapToGrid w:val="false"/>
              <w:jc w:val="both"/>
              <w:rPr>
                <w:sz w:val="22"/>
              </w:rPr>
            </w:pPr>
            <w:r>
              <w:rPr>
                <w:sz w:val="22"/>
              </w:rPr>
            </w:r>
          </w:p>
          <w:p>
            <w:pPr>
              <w:pStyle w:val="Normal"/>
              <w:jc w:val="both"/>
              <w:rPr>
                <w:sz w:val="22"/>
              </w:rPr>
            </w:pPr>
            <w:r>
              <w:rPr>
                <w:sz w:val="22"/>
              </w:rPr>
              <w:t>The last calendar day of each month commencing December 31, 1998, through and including the Termination Date, subject to adjustment in accordance with the Modified Following Business Day Convention</w:t>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jc w:val="both"/>
              <w:rPr>
                <w:sz w:val="22"/>
              </w:rPr>
            </w:pPr>
            <w:r>
              <w:rPr>
                <w:sz w:val="22"/>
              </w:rPr>
            </w:r>
          </w:p>
        </w:tc>
      </w:tr>
      <w:tr>
        <w:trPr/>
        <w:tc>
          <w:tcPr>
            <w:tcW w:w="3691" w:type="dxa"/>
            <w:tcBorders/>
          </w:tcPr>
          <w:p>
            <w:pPr>
              <w:pStyle w:val="Header"/>
              <w:ind w:start="719" w:end="0"/>
              <w:rPr>
                <w:sz w:val="22"/>
              </w:rPr>
            </w:pPr>
            <w:r>
              <w:rPr>
                <w:sz w:val="22"/>
              </w:rPr>
              <w:t xml:space="preserve">Fixed Rate Payer </w:t>
            </w:r>
          </w:p>
          <w:p>
            <w:pPr>
              <w:pStyle w:val="Normal"/>
              <w:ind w:start="719" w:end="0"/>
              <w:rPr>
                <w:sz w:val="22"/>
              </w:rPr>
            </w:pPr>
            <w:r>
              <w:rPr>
                <w:sz w:val="22"/>
              </w:rPr>
              <w:t>Payment Dates:</w:t>
            </w:r>
          </w:p>
        </w:tc>
        <w:tc>
          <w:tcPr>
            <w:tcW w:w="4933" w:type="dxa"/>
            <w:tcBorders/>
          </w:tcPr>
          <w:p>
            <w:pPr>
              <w:pStyle w:val="BodyText2"/>
              <w:snapToGrid w:val="false"/>
              <w:rPr>
                <w:sz w:val="22"/>
              </w:rPr>
            </w:pPr>
            <w:r>
              <w:rPr>
                <w:sz w:val="22"/>
              </w:rPr>
            </w:r>
          </w:p>
          <w:p>
            <w:pPr>
              <w:pStyle w:val="Normal"/>
              <w:jc w:val="both"/>
              <w:rPr>
                <w:sz w:val="22"/>
              </w:rPr>
            </w:pPr>
            <w:r>
              <w:rPr>
                <w:sz w:val="22"/>
              </w:rPr>
              <w:t xml:space="preserve">Delayed Payment – Twenty-five calendar days following each Fixed Rate Payer Period End Date commencing January 25, 1999 through and including November 25, 1999, subject to adjustment in accordance with the Modified Following Business Day Convention </w:t>
            </w:r>
          </w:p>
        </w:tc>
      </w:tr>
      <w:tr>
        <w:trPr/>
        <w:tc>
          <w:tcPr>
            <w:tcW w:w="3691" w:type="dxa"/>
            <w:tcBorders/>
          </w:tcPr>
          <w:p>
            <w:pPr>
              <w:pStyle w:val="Normal"/>
              <w:snapToGrid w:val="false"/>
              <w:ind w:firstLine="629" w:end="0"/>
              <w:rPr>
                <w:sz w:val="22"/>
              </w:rPr>
            </w:pPr>
            <w:r>
              <w:rPr>
                <w:sz w:val="22"/>
              </w:rPr>
            </w:r>
          </w:p>
        </w:tc>
        <w:tc>
          <w:tcPr>
            <w:tcW w:w="4933" w:type="dxa"/>
            <w:tcBorders/>
          </w:tcPr>
          <w:p>
            <w:pPr>
              <w:pStyle w:val="Normal"/>
              <w:snapToGrid w:val="false"/>
              <w:jc w:val="both"/>
              <w:rPr>
                <w:sz w:val="22"/>
              </w:rPr>
            </w:pPr>
            <w:r>
              <w:rPr>
                <w:sz w:val="22"/>
              </w:rPr>
            </w:r>
          </w:p>
        </w:tc>
      </w:tr>
      <w:tr>
        <w:trPr/>
        <w:tc>
          <w:tcPr>
            <w:tcW w:w="3691" w:type="dxa"/>
            <w:tcBorders/>
          </w:tcPr>
          <w:p>
            <w:pPr>
              <w:pStyle w:val="Normal"/>
              <w:rPr>
                <w:b/>
                <w:sz w:val="22"/>
              </w:rPr>
            </w:pPr>
            <w:r>
              <w:rPr>
                <w:b/>
                <w:sz w:val="22"/>
              </w:rPr>
              <w:t>Floating Amounts:</w:t>
            </w:r>
          </w:p>
          <w:p>
            <w:pPr>
              <w:pStyle w:val="Normal"/>
              <w:rPr>
                <w:b/>
                <w:sz w:val="22"/>
              </w:rPr>
            </w:pPr>
            <w:r>
              <w:rPr>
                <w:b/>
                <w:sz w:val="22"/>
              </w:rPr>
            </w:r>
          </w:p>
        </w:tc>
        <w:tc>
          <w:tcPr>
            <w:tcW w:w="4933" w:type="dxa"/>
            <w:tcBorders/>
          </w:tcPr>
          <w:p>
            <w:pPr>
              <w:pStyle w:val="Normal"/>
              <w:snapToGrid w:val="false"/>
              <w:rPr>
                <w:b/>
                <w:sz w:val="22"/>
              </w:rPr>
            </w:pPr>
            <w:r>
              <w:rPr>
                <w:b/>
                <w:sz w:val="22"/>
              </w:rPr>
            </w:r>
          </w:p>
        </w:tc>
      </w:tr>
      <w:tr>
        <w:trPr/>
        <w:tc>
          <w:tcPr>
            <w:tcW w:w="3691" w:type="dxa"/>
            <w:tcBorders/>
          </w:tcPr>
          <w:p>
            <w:pPr>
              <w:pStyle w:val="Normal"/>
              <w:ind w:start="719" w:end="0"/>
              <w:rPr>
                <w:sz w:val="22"/>
              </w:rPr>
            </w:pPr>
            <w:r>
              <w:rPr>
                <w:sz w:val="22"/>
              </w:rPr>
              <w:t>Floating Rate Payer:</w:t>
            </w:r>
          </w:p>
          <w:p>
            <w:pPr>
              <w:pStyle w:val="Normal"/>
              <w:ind w:start="719" w:end="0"/>
              <w:rPr>
                <w:sz w:val="22"/>
              </w:rPr>
            </w:pPr>
            <w:r>
              <w:rPr>
                <w:sz w:val="22"/>
              </w:rPr>
            </w:r>
          </w:p>
        </w:tc>
        <w:tc>
          <w:tcPr>
            <w:tcW w:w="4933" w:type="dxa"/>
            <w:tcBorders/>
          </w:tcPr>
          <w:p>
            <w:pPr>
              <w:pStyle w:val="Normal"/>
              <w:rPr>
                <w:sz w:val="22"/>
              </w:rPr>
            </w:pPr>
            <w:r>
              <w:rPr>
                <w:sz w:val="22"/>
              </w:rPr>
              <w:t>Party B</w:t>
            </w:r>
          </w:p>
        </w:tc>
      </w:tr>
      <w:tr>
        <w:trPr/>
        <w:tc>
          <w:tcPr>
            <w:tcW w:w="3691" w:type="dxa"/>
            <w:tcBorders/>
          </w:tcPr>
          <w:p>
            <w:pPr>
              <w:pStyle w:val="Normal"/>
              <w:ind w:start="719" w:end="0"/>
              <w:rPr>
                <w:sz w:val="22"/>
              </w:rPr>
            </w:pPr>
            <w:r>
              <w:rPr>
                <w:sz w:val="22"/>
              </w:rPr>
              <w:t>Floating Rate Payer Currency Amount:</w:t>
            </w:r>
          </w:p>
          <w:p>
            <w:pPr>
              <w:pStyle w:val="Normal"/>
              <w:ind w:start="719" w:end="0"/>
              <w:rPr>
                <w:sz w:val="22"/>
              </w:rPr>
            </w:pPr>
            <w:r>
              <w:rPr>
                <w:sz w:val="22"/>
              </w:rPr>
            </w:r>
          </w:p>
        </w:tc>
        <w:tc>
          <w:tcPr>
            <w:tcW w:w="4933" w:type="dxa"/>
            <w:tcBorders/>
          </w:tcPr>
          <w:p>
            <w:pPr>
              <w:pStyle w:val="Normal"/>
              <w:snapToGrid w:val="false"/>
              <w:jc w:val="both"/>
              <w:rPr>
                <w:sz w:val="22"/>
              </w:rPr>
            </w:pPr>
            <w:r>
              <w:rPr>
                <w:sz w:val="22"/>
              </w:rPr>
            </w:r>
          </w:p>
          <w:p>
            <w:pPr>
              <w:pStyle w:val="Normal"/>
              <w:jc w:val="both"/>
              <w:rPr>
                <w:sz w:val="22"/>
              </w:rPr>
            </w:pPr>
            <w:r>
              <w:rPr>
                <w:sz w:val="22"/>
              </w:rPr>
              <w:t xml:space="preserve">USD 500,000.00 </w:t>
            </w:r>
          </w:p>
          <w:p>
            <w:pPr>
              <w:pStyle w:val="Normal"/>
              <w:jc w:val="both"/>
              <w:rPr>
                <w:sz w:val="22"/>
              </w:rPr>
            </w:pPr>
            <w:r>
              <w:rPr>
                <w:sz w:val="22"/>
              </w:rPr>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jc w:val="both"/>
              <w:rPr>
                <w:sz w:val="22"/>
              </w:rPr>
            </w:pPr>
            <w:r>
              <w:rPr>
                <w:sz w:val="22"/>
              </w:rPr>
            </w:r>
          </w:p>
        </w:tc>
      </w:tr>
      <w:tr>
        <w:trPr/>
        <w:tc>
          <w:tcPr>
            <w:tcW w:w="3691" w:type="dxa"/>
            <w:tcBorders/>
          </w:tcPr>
          <w:p>
            <w:pPr>
              <w:pStyle w:val="Normal"/>
              <w:ind w:start="719" w:end="0"/>
              <w:rPr>
                <w:sz w:val="22"/>
              </w:rPr>
            </w:pPr>
            <w:r>
              <w:rPr>
                <w:sz w:val="22"/>
              </w:rPr>
              <w:t xml:space="preserve">Floating Rate Payer </w:t>
            </w:r>
          </w:p>
          <w:p>
            <w:pPr>
              <w:pStyle w:val="Normal"/>
              <w:ind w:start="719" w:end="0"/>
              <w:rPr>
                <w:sz w:val="22"/>
              </w:rPr>
            </w:pPr>
            <w:r>
              <w:rPr>
                <w:sz w:val="22"/>
              </w:rPr>
              <w:t>Period End Dates:</w:t>
            </w:r>
          </w:p>
        </w:tc>
        <w:tc>
          <w:tcPr>
            <w:tcW w:w="4933" w:type="dxa"/>
            <w:tcBorders/>
          </w:tcPr>
          <w:p>
            <w:pPr>
              <w:pStyle w:val="Normal"/>
              <w:snapToGrid w:val="false"/>
              <w:jc w:val="both"/>
              <w:rPr>
                <w:sz w:val="22"/>
              </w:rPr>
            </w:pPr>
            <w:r>
              <w:rPr>
                <w:sz w:val="22"/>
              </w:rPr>
            </w:r>
          </w:p>
          <w:p>
            <w:pPr>
              <w:pStyle w:val="Normal"/>
              <w:jc w:val="both"/>
              <w:rPr>
                <w:sz w:val="22"/>
              </w:rPr>
            </w:pPr>
            <w:r>
              <w:rPr>
                <w:sz w:val="22"/>
              </w:rPr>
              <w:t>The last calendar day of each month commencing December 31, 1998, through and including the Termination Date, subject to adjustment in accordance with the Modified Following Business Day Convention</w:t>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jc w:val="both"/>
              <w:rPr>
                <w:sz w:val="22"/>
              </w:rPr>
            </w:pPr>
            <w:r>
              <w:rPr>
                <w:sz w:val="22"/>
              </w:rPr>
            </w:r>
          </w:p>
        </w:tc>
      </w:tr>
      <w:tr>
        <w:trPr/>
        <w:tc>
          <w:tcPr>
            <w:tcW w:w="3691" w:type="dxa"/>
            <w:tcBorders/>
          </w:tcPr>
          <w:p>
            <w:pPr>
              <w:pStyle w:val="Normal"/>
              <w:ind w:start="719" w:end="0"/>
              <w:rPr>
                <w:sz w:val="22"/>
              </w:rPr>
            </w:pPr>
            <w:r>
              <w:rPr>
                <w:sz w:val="22"/>
              </w:rPr>
              <w:t xml:space="preserve">Floating Rate Payer </w:t>
            </w:r>
          </w:p>
          <w:p>
            <w:pPr>
              <w:pStyle w:val="Normal"/>
              <w:ind w:start="719" w:end="0"/>
              <w:rPr>
                <w:sz w:val="22"/>
              </w:rPr>
            </w:pPr>
            <w:r>
              <w:rPr>
                <w:sz w:val="22"/>
              </w:rPr>
              <w:t>Payment Dates:</w:t>
            </w:r>
          </w:p>
        </w:tc>
        <w:tc>
          <w:tcPr>
            <w:tcW w:w="4933" w:type="dxa"/>
            <w:tcBorders/>
          </w:tcPr>
          <w:p>
            <w:pPr>
              <w:pStyle w:val="BodyText2"/>
              <w:snapToGrid w:val="false"/>
              <w:rPr>
                <w:sz w:val="22"/>
              </w:rPr>
            </w:pPr>
            <w:r>
              <w:rPr>
                <w:sz w:val="22"/>
              </w:rPr>
            </w:r>
          </w:p>
          <w:p>
            <w:pPr>
              <w:pStyle w:val="Normal"/>
              <w:jc w:val="both"/>
              <w:rPr>
                <w:sz w:val="22"/>
              </w:rPr>
            </w:pPr>
            <w:r>
              <w:rPr>
                <w:sz w:val="22"/>
              </w:rPr>
              <w:t xml:space="preserve">Delayed Payment – Twenty-five calendar days following each Fixed Rate Payer Period End Date commencing January 25, 1999 through and including November 25, 1999 subject to adjustment in accordance with the Modified Following Business Day Convention </w:t>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jc w:val="both"/>
              <w:rPr>
                <w:sz w:val="22"/>
              </w:rPr>
            </w:pPr>
            <w:r>
              <w:rPr>
                <w:sz w:val="22"/>
              </w:rPr>
            </w:r>
          </w:p>
        </w:tc>
      </w:tr>
      <w:tr>
        <w:trPr/>
        <w:tc>
          <w:tcPr>
            <w:tcW w:w="3691" w:type="dxa"/>
            <w:tcBorders/>
          </w:tcPr>
          <w:p>
            <w:pPr>
              <w:pStyle w:val="Normal"/>
              <w:ind w:start="719" w:end="0"/>
              <w:rPr>
                <w:sz w:val="22"/>
              </w:rPr>
            </w:pPr>
            <w:r>
              <w:rPr>
                <w:sz w:val="22"/>
              </w:rPr>
              <w:t>Floating Amounts:</w:t>
            </w:r>
          </w:p>
          <w:p>
            <w:pPr>
              <w:pStyle w:val="Normal"/>
              <w:ind w:start="719" w:end="0"/>
              <w:rPr>
                <w:sz w:val="22"/>
              </w:rPr>
            </w:pPr>
            <w:r>
              <w:rPr>
                <w:sz w:val="22"/>
              </w:rPr>
            </w:r>
          </w:p>
        </w:tc>
        <w:tc>
          <w:tcPr>
            <w:tcW w:w="4933" w:type="dxa"/>
            <w:tcBorders/>
          </w:tcPr>
          <w:p>
            <w:pPr>
              <w:pStyle w:val="Normal"/>
              <w:jc w:val="both"/>
              <w:rPr>
                <w:sz w:val="22"/>
              </w:rPr>
            </w:pPr>
            <w:r>
              <w:rPr>
                <w:sz w:val="22"/>
              </w:rPr>
              <w:t xml:space="preserve">A CAD amount equal to the multiple of (i) the Floating Rate Payer Currency Amount and (ii) FX Rate (as defined below) </w:t>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rPr>
                <w:sz w:val="22"/>
              </w:rPr>
            </w:pPr>
            <w:r>
              <w:rPr>
                <w:sz w:val="22"/>
              </w:rPr>
            </w:r>
          </w:p>
        </w:tc>
      </w:tr>
      <w:tr>
        <w:trPr/>
        <w:tc>
          <w:tcPr>
            <w:tcW w:w="3691" w:type="dxa"/>
            <w:tcBorders/>
          </w:tcPr>
          <w:p>
            <w:pPr>
              <w:pStyle w:val="Normal"/>
              <w:ind w:start="719" w:end="0"/>
              <w:rPr>
                <w:sz w:val="22"/>
              </w:rPr>
            </w:pPr>
            <w:r>
              <w:rPr>
                <w:sz w:val="22"/>
              </w:rPr>
              <w:t>Reset Dates:</w:t>
            </w:r>
          </w:p>
        </w:tc>
        <w:tc>
          <w:tcPr>
            <w:tcW w:w="4933" w:type="dxa"/>
            <w:tcBorders/>
          </w:tcPr>
          <w:p>
            <w:pPr>
              <w:pStyle w:val="Normal"/>
              <w:jc w:val="both"/>
              <w:rPr>
                <w:sz w:val="22"/>
              </w:rPr>
            </w:pPr>
            <w:r>
              <w:rPr>
                <w:sz w:val="22"/>
              </w:rPr>
              <w:t>Each Toronto Business Day of each Floating Rate Payer Calculation Period</w:t>
            </w:r>
          </w:p>
        </w:tc>
      </w:tr>
      <w:tr>
        <w:trPr/>
        <w:tc>
          <w:tcPr>
            <w:tcW w:w="3691" w:type="dxa"/>
            <w:tcBorders/>
          </w:tcPr>
          <w:p>
            <w:pPr>
              <w:pStyle w:val="Normal"/>
              <w:snapToGrid w:val="false"/>
              <w:ind w:start="719" w:end="0"/>
              <w:rPr>
                <w:sz w:val="22"/>
              </w:rPr>
            </w:pPr>
            <w:r>
              <w:rPr>
                <w:sz w:val="22"/>
              </w:rPr>
            </w:r>
          </w:p>
        </w:tc>
        <w:tc>
          <w:tcPr>
            <w:tcW w:w="4933" w:type="dxa"/>
            <w:tcBorders/>
          </w:tcPr>
          <w:p>
            <w:pPr>
              <w:pStyle w:val="Normal"/>
              <w:snapToGrid w:val="false"/>
              <w:rPr>
                <w:sz w:val="22"/>
              </w:rPr>
            </w:pPr>
            <w:r>
              <w:rPr>
                <w:sz w:val="22"/>
              </w:rPr>
            </w:r>
          </w:p>
        </w:tc>
      </w:tr>
      <w:tr>
        <w:trPr/>
        <w:tc>
          <w:tcPr>
            <w:tcW w:w="3691" w:type="dxa"/>
            <w:tcBorders/>
          </w:tcPr>
          <w:p>
            <w:pPr>
              <w:pStyle w:val="Normal"/>
              <w:ind w:start="-1" w:end="0"/>
              <w:rPr>
                <w:sz w:val="22"/>
              </w:rPr>
            </w:pPr>
            <w:r>
              <w:rPr>
                <w:sz w:val="22"/>
              </w:rPr>
              <w:t>Business Days for USD:</w:t>
            </w:r>
          </w:p>
        </w:tc>
        <w:tc>
          <w:tcPr>
            <w:tcW w:w="4933" w:type="dxa"/>
            <w:tcBorders/>
          </w:tcPr>
          <w:p>
            <w:pPr>
              <w:pStyle w:val="Normal"/>
              <w:rPr>
                <w:sz w:val="22"/>
              </w:rPr>
            </w:pPr>
            <w:r>
              <w:rPr>
                <w:sz w:val="22"/>
              </w:rPr>
              <w:t>New York</w:t>
            </w:r>
          </w:p>
          <w:p>
            <w:pPr>
              <w:pStyle w:val="Normal"/>
              <w:rPr>
                <w:sz w:val="22"/>
              </w:rPr>
            </w:pPr>
            <w:r>
              <w:rPr>
                <w:sz w:val="22"/>
              </w:rPr>
            </w:r>
          </w:p>
        </w:tc>
      </w:tr>
      <w:tr>
        <w:trPr/>
        <w:tc>
          <w:tcPr>
            <w:tcW w:w="3691" w:type="dxa"/>
            <w:tcBorders/>
          </w:tcPr>
          <w:p>
            <w:pPr>
              <w:pStyle w:val="Normal"/>
              <w:ind w:start="-1" w:end="0"/>
              <w:rPr>
                <w:sz w:val="22"/>
              </w:rPr>
            </w:pPr>
            <w:r>
              <w:rPr>
                <w:sz w:val="22"/>
              </w:rPr>
              <w:t xml:space="preserve">Business Days for CAD: </w:t>
            </w:r>
          </w:p>
        </w:tc>
        <w:tc>
          <w:tcPr>
            <w:tcW w:w="4933" w:type="dxa"/>
            <w:tcBorders/>
          </w:tcPr>
          <w:p>
            <w:pPr>
              <w:pStyle w:val="Normal"/>
              <w:rPr>
                <w:sz w:val="22"/>
              </w:rPr>
            </w:pPr>
            <w:r>
              <w:rPr>
                <w:sz w:val="22"/>
              </w:rPr>
              <w:t>Toronto</w:t>
            </w:r>
          </w:p>
        </w:tc>
      </w:tr>
      <w:tr>
        <w:trPr/>
        <w:tc>
          <w:tcPr>
            <w:tcW w:w="3691" w:type="dxa"/>
            <w:tcBorders/>
          </w:tcPr>
          <w:p>
            <w:pPr>
              <w:pStyle w:val="Normal"/>
              <w:snapToGrid w:val="false"/>
              <w:ind w:start="-1" w:end="0"/>
              <w:rPr>
                <w:sz w:val="22"/>
              </w:rPr>
            </w:pPr>
            <w:r>
              <w:rPr>
                <w:sz w:val="22"/>
              </w:rPr>
            </w:r>
          </w:p>
        </w:tc>
        <w:tc>
          <w:tcPr>
            <w:tcW w:w="4933" w:type="dxa"/>
            <w:tcBorders/>
          </w:tcPr>
          <w:p>
            <w:pPr>
              <w:pStyle w:val="Normal"/>
              <w:snapToGrid w:val="false"/>
              <w:rPr>
                <w:sz w:val="22"/>
              </w:rPr>
            </w:pPr>
            <w:r>
              <w:rPr>
                <w:sz w:val="22"/>
              </w:rPr>
            </w:r>
          </w:p>
        </w:tc>
      </w:tr>
      <w:tr>
        <w:trPr/>
        <w:tc>
          <w:tcPr>
            <w:tcW w:w="3691" w:type="dxa"/>
            <w:tcBorders/>
          </w:tcPr>
          <w:p>
            <w:pPr>
              <w:pStyle w:val="Normal"/>
              <w:ind w:start="-1" w:end="0"/>
              <w:rPr>
                <w:sz w:val="22"/>
              </w:rPr>
            </w:pPr>
            <w:r>
              <w:rPr>
                <w:sz w:val="22"/>
              </w:rPr>
              <w:t>Calculation Agent:</w:t>
            </w:r>
          </w:p>
        </w:tc>
        <w:tc>
          <w:tcPr>
            <w:tcW w:w="4933" w:type="dxa"/>
            <w:tcBorders/>
          </w:tcPr>
          <w:p>
            <w:pPr>
              <w:pStyle w:val="Normal"/>
              <w:rPr>
                <w:sz w:val="22"/>
              </w:rPr>
            </w:pPr>
            <w:r>
              <w:rPr>
                <w:sz w:val="22"/>
              </w:rPr>
              <w:t>Party A</w:t>
            </w:r>
          </w:p>
        </w:tc>
      </w:tr>
    </w:tbl>
    <w:p>
      <w:pPr>
        <w:pStyle w:val="Normal"/>
        <w:rPr>
          <w:b/>
        </w:rPr>
      </w:pPr>
      <w:r>
        <w:rPr>
          <w:b/>
        </w:rPr>
      </w:r>
    </w:p>
    <w:p>
      <w:pPr>
        <w:pStyle w:val="Normal"/>
        <w:rPr>
          <w:b/>
          <w:sz w:val="22"/>
        </w:rPr>
      </w:pPr>
      <w:r>
        <w:rPr>
          <w:b/>
          <w:sz w:val="22"/>
        </w:rPr>
        <w:t>3.        Special Provisions</w:t>
      </w:r>
    </w:p>
    <w:p>
      <w:pPr>
        <w:pStyle w:val="Normal"/>
        <w:rPr>
          <w:b/>
          <w:sz w:val="22"/>
        </w:rPr>
      </w:pPr>
      <w:r>
        <w:rPr>
          <w:b/>
          <w:sz w:val="22"/>
        </w:rPr>
      </w:r>
    </w:p>
    <w:p>
      <w:pPr>
        <w:pStyle w:val="Normal"/>
        <w:rPr>
          <w:sz w:val="22"/>
        </w:rPr>
      </w:pPr>
      <w:r>
        <w:rPr>
          <w:sz w:val="22"/>
        </w:rPr>
        <w:tab/>
        <w:t>For the purposes of this Transaction, the following term shall have its indicated meaning:</w:t>
      </w:r>
    </w:p>
    <w:p>
      <w:pPr>
        <w:pStyle w:val="Normal"/>
        <w:rPr>
          <w:sz w:val="22"/>
        </w:rPr>
      </w:pPr>
      <w:r>
        <w:rPr>
          <w:sz w:val="22"/>
        </w:rPr>
      </w:r>
    </w:p>
    <w:p>
      <w:pPr>
        <w:pStyle w:val="BodyText2"/>
        <w:rPr>
          <w:sz w:val="22"/>
        </w:rPr>
      </w:pPr>
      <w:r>
        <w:rPr>
          <w:sz w:val="22"/>
        </w:rPr>
        <w:tab/>
        <w:t>‘FX Rate’ means, for each Floating Rate Payer Reset Date, a CAD/USD rate equal to the rate set forth on Reuters Page BOFC, under the headings ‘Bank of Canada’; ‘Canadian Dollar Exchange Rates’; ‘NOON’, opposite the caption ‘USD’ as of 12:00 p.m. noon, Toronto time, on each Reset Date. In the event Reuters Page BOFC is not publishing such rate or such rate is otherwise unavailable on any Reset Date, the rate for such Reset Date will be obtained from Reuters Page RBCM by taking the arithmetic mean of the bid and offer rates posted as of 12:00 p.m. noon, Toronto time, on such Reset Date.  In the event that neither Reuters Page BOFC and Reuters Page RBCM are publishing such rate or such rate is otherwise unavailable, the Calculation Agent will request the principal Toronto office of two Reference Banks, as determined by the Calculation Agent and mutually agreed upon by Party B, to provide a quotation of its CAD/USD spot exchange rate in effect for such date.  The FX Rate shall be the arithmetic mean of such spot exchange rates.</w:t>
      </w:r>
    </w:p>
    <w:p>
      <w:pPr>
        <w:pStyle w:val="BodyText2"/>
        <w:rPr>
          <w:sz w:val="22"/>
        </w:rPr>
      </w:pPr>
      <w:r>
        <w:rPr>
          <w:sz w:val="22"/>
        </w:rPr>
      </w:r>
    </w:p>
    <w:tbl>
      <w:tblPr>
        <w:tblW w:w="8624" w:type="dxa"/>
        <w:jc w:val="start"/>
        <w:tblInd w:w="0" w:type="dxa"/>
        <w:tblLayout w:type="fixed"/>
        <w:tblCellMar>
          <w:top w:w="0" w:type="dxa"/>
          <w:start w:w="108" w:type="dxa"/>
          <w:bottom w:w="0" w:type="dxa"/>
          <w:end w:w="108" w:type="dxa"/>
        </w:tblCellMar>
      </w:tblPr>
      <w:tblGrid>
        <w:gridCol w:w="2805"/>
        <w:gridCol w:w="5819"/>
      </w:tblGrid>
      <w:tr>
        <w:trPr/>
        <w:tc>
          <w:tcPr>
            <w:tcW w:w="2805" w:type="dxa"/>
            <w:tcBorders/>
          </w:tcPr>
          <w:p>
            <w:pPr>
              <w:pStyle w:val="Normal"/>
              <w:tabs>
                <w:tab w:val="clear" w:pos="720"/>
                <w:tab w:val="left" w:pos="540" w:leader="none"/>
              </w:tabs>
              <w:snapToGrid w:val="false"/>
              <w:rPr/>
            </w:pPr>
            <w:r>
              <w:rPr/>
            </w:r>
          </w:p>
        </w:tc>
        <w:tc>
          <w:tcPr>
            <w:tcW w:w="5819" w:type="dxa"/>
            <w:tcBorders/>
          </w:tcPr>
          <w:p>
            <w:pPr>
              <w:pStyle w:val="Normal"/>
              <w:snapToGrid w:val="false"/>
              <w:rPr/>
            </w:pPr>
            <w:r>
              <w:rPr/>
            </w:r>
          </w:p>
        </w:tc>
      </w:tr>
      <w:tr>
        <w:trPr/>
        <w:tc>
          <w:tcPr>
            <w:tcW w:w="2805" w:type="dxa"/>
            <w:tcBorders/>
          </w:tcPr>
          <w:p>
            <w:pPr>
              <w:pStyle w:val="Normal"/>
              <w:tabs>
                <w:tab w:val="left" w:pos="720" w:leader="none"/>
              </w:tabs>
              <w:rPr/>
            </w:pPr>
            <w:r>
              <w:rPr>
                <w:b/>
              </w:rPr>
              <w:t xml:space="preserve">4.        </w:t>
            </w:r>
            <w:r>
              <w:rPr>
                <w:b/>
                <w:u w:val="single"/>
              </w:rPr>
              <w:t>Account Details.</w:t>
            </w:r>
            <w:r>
              <w:rPr>
                <w:b/>
              </w:rPr>
              <w:t xml:space="preserve"> </w:t>
            </w:r>
          </w:p>
          <w:p>
            <w:pPr>
              <w:pStyle w:val="Normal"/>
              <w:tabs>
                <w:tab w:val="clear" w:pos="720"/>
                <w:tab w:val="left" w:pos="540" w:leader="none"/>
              </w:tabs>
              <w:rPr/>
            </w:pPr>
            <w:r>
              <w:rPr/>
              <w:t xml:space="preserve">           </w:t>
            </w:r>
          </w:p>
        </w:tc>
        <w:tc>
          <w:tcPr>
            <w:tcW w:w="5819" w:type="dxa"/>
            <w:tcBorders/>
          </w:tcPr>
          <w:p>
            <w:pPr>
              <w:pStyle w:val="Normal"/>
              <w:snapToGrid w:val="false"/>
              <w:rPr/>
            </w:pPr>
            <w:r>
              <w:rPr/>
            </w:r>
          </w:p>
          <w:p>
            <w:pPr>
              <w:pStyle w:val="Normal"/>
              <w:rPr/>
            </w:pPr>
            <w:r>
              <w:rPr/>
            </w:r>
          </w:p>
        </w:tc>
      </w:tr>
      <w:tr>
        <w:trPr/>
        <w:tc>
          <w:tcPr>
            <w:tcW w:w="2805" w:type="dxa"/>
            <w:tcBorders/>
          </w:tcPr>
          <w:p>
            <w:pPr>
              <w:pStyle w:val="Normal"/>
              <w:rPr/>
            </w:pPr>
            <w:r>
              <w:rPr/>
              <w:t xml:space="preserve">          </w:t>
            </w:r>
            <w:r>
              <w:rPr/>
              <w:t>Payments to Party A:</w:t>
            </w:r>
          </w:p>
          <w:p>
            <w:pPr>
              <w:pStyle w:val="Normal"/>
              <w:rPr/>
            </w:pPr>
            <w:r>
              <w:rPr/>
            </w:r>
          </w:p>
        </w:tc>
        <w:tc>
          <w:tcPr>
            <w:tcW w:w="5819" w:type="dxa"/>
            <w:tcBorders/>
          </w:tcPr>
          <w:p>
            <w:pPr>
              <w:pStyle w:val="Normal"/>
              <w:rPr/>
            </w:pPr>
            <w:r>
              <w:rPr/>
              <w:t xml:space="preserve">TO BE ADVISED </w:t>
            </w:r>
          </w:p>
        </w:tc>
      </w:tr>
      <w:tr>
        <w:trPr/>
        <w:tc>
          <w:tcPr>
            <w:tcW w:w="2805" w:type="dxa"/>
            <w:tcBorders/>
          </w:tcPr>
          <w:p>
            <w:pPr>
              <w:pStyle w:val="Normal"/>
              <w:rPr/>
            </w:pPr>
            <w:r>
              <w:rPr/>
              <w:t xml:space="preserve">          </w:t>
            </w:r>
            <w:r>
              <w:rPr/>
              <w:t>Payments to Party B:</w:t>
            </w:r>
          </w:p>
          <w:p>
            <w:pPr>
              <w:pStyle w:val="Normal"/>
              <w:rPr/>
            </w:pPr>
            <w:r>
              <w:rPr/>
            </w:r>
          </w:p>
        </w:tc>
        <w:tc>
          <w:tcPr>
            <w:tcW w:w="5819" w:type="dxa"/>
            <w:tcBorders/>
          </w:tcPr>
          <w:p>
            <w:pPr>
              <w:pStyle w:val="Normal"/>
              <w:rPr/>
            </w:pPr>
            <w:r>
              <w:rPr/>
              <w:t>PLEASE ADVISE</w:t>
            </w:r>
          </w:p>
        </w:tc>
      </w:tr>
    </w:tbl>
    <w:p>
      <w:pPr>
        <w:pStyle w:val="Normal"/>
        <w:jc w:val="both"/>
        <w:rPr>
          <w:sz w:val="22"/>
        </w:rPr>
      </w:pPr>
      <w:r>
        <w:rPr>
          <w:sz w:val="22"/>
        </w:rPr>
      </w:r>
    </w:p>
    <w:p>
      <w:pPr>
        <w:pStyle w:val="BodyText"/>
        <w:rPr/>
      </w:pPr>
      <w:r>
        <w:rPr/>
        <w:t>Please promptly confirm that the foregoing correctly sets forth the terms of the Transaction entered into between us by executing the copy of this Confirmation and returning it to us via facsimile to (713) 646-4816, Attention:  Director of Documentation.</w:t>
      </w:r>
    </w:p>
    <w:p>
      <w:pPr>
        <w:pStyle w:val="Normal"/>
        <w:jc w:val="both"/>
        <w:rPr>
          <w:sz w:val="22"/>
        </w:rPr>
      </w:pPr>
      <w:r>
        <w:rPr>
          <w:sz w:val="22"/>
        </w:rPr>
      </w:r>
    </w:p>
    <w:p>
      <w:pPr>
        <w:pStyle w:val="Normal"/>
        <w:jc w:val="both"/>
        <w:rPr>
          <w:sz w:val="22"/>
        </w:rPr>
      </w:pP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sz w:val="22"/>
        </w:rPr>
      </w:pPr>
      <w:r>
        <w:rPr>
          <w:sz w:val="22"/>
        </w:rPr>
      </w:r>
    </w:p>
    <w:p>
      <w:pPr>
        <w:pStyle w:val="Normal"/>
        <w:jc w:val="both"/>
        <w:rPr>
          <w:sz w:val="22"/>
        </w:rPr>
      </w:pPr>
      <w:r>
        <w:rPr>
          <w:sz w:val="22"/>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Yours sincerely,</w:t>
      </w:r>
    </w:p>
    <w:p>
      <w:pPr>
        <w:pStyle w:val="Normal"/>
        <w:jc w:val="both"/>
        <w:rPr>
          <w:sz w:val="22"/>
        </w:rPr>
      </w:pPr>
      <w:r>
        <w:rPr>
          <w:sz w:val="22"/>
        </w:rPr>
      </w:r>
    </w:p>
    <w:p>
      <w:pPr>
        <w:pStyle w:val="Normal"/>
        <w:jc w:val="both"/>
        <w:rPr>
          <w:sz w:val="22"/>
        </w:rPr>
      </w:pPr>
      <w:r>
        <w:rPr>
          <w:sz w:val="22"/>
        </w:rPr>
        <w:tab/>
        <w:tab/>
        <w:tab/>
        <w:tab/>
        <w:tab/>
        <w:tab/>
        <w:t>RISK MANAGEMENT &amp; TRADING CORP.</w:t>
      </w:r>
    </w:p>
    <w:p>
      <w:pPr>
        <w:pStyle w:val="Normal"/>
        <w:jc w:val="both"/>
        <w:rPr>
          <w:sz w:val="22"/>
        </w:rPr>
      </w:pPr>
      <w:r>
        <w:rPr>
          <w:sz w:val="22"/>
        </w:rPr>
      </w:r>
    </w:p>
    <w:p>
      <w:pPr>
        <w:pStyle w:val="Normal"/>
        <w:jc w:val="both"/>
        <w:rPr>
          <w:sz w:val="22"/>
        </w:rPr>
      </w:pPr>
      <w:r>
        <w:rPr>
          <w:sz w:val="22"/>
        </w:rPr>
        <w:tab/>
        <w:tab/>
        <w:tab/>
        <w:tab/>
        <w:tab/>
        <w:tab/>
        <w:t xml:space="preserve">By: </w:t>
      </w:r>
      <w:r>
        <w:rPr>
          <w:sz w:val="22"/>
          <w:u w:val="single"/>
        </w:rPr>
        <w:tab/>
        <w:tab/>
        <w:tab/>
        <w:tab/>
        <w:tab/>
        <w:tab/>
      </w:r>
    </w:p>
    <w:p>
      <w:pPr>
        <w:pStyle w:val="Normal"/>
        <w:jc w:val="both"/>
        <w:rPr>
          <w:sz w:val="22"/>
        </w:rPr>
      </w:pPr>
      <w:r>
        <w:rPr>
          <w:sz w:val="22"/>
        </w:rPr>
        <w:tab/>
        <w:tab/>
        <w:tab/>
        <w:tab/>
        <w:tab/>
        <w:tab/>
        <w:t>Name:</w:t>
      </w:r>
      <w:r>
        <w:rPr>
          <w:sz w:val="22"/>
          <w:u w:val="single"/>
        </w:rPr>
        <w:tab/>
        <w:tab/>
        <w:tab/>
        <w:tab/>
        <w:tab/>
        <w:tab/>
      </w:r>
    </w:p>
    <w:p>
      <w:pPr>
        <w:pStyle w:val="Normal"/>
        <w:jc w:val="both"/>
        <w:rPr>
          <w:sz w:val="22"/>
        </w:rPr>
      </w:pPr>
      <w:r>
        <w:rPr>
          <w:sz w:val="22"/>
        </w:rPr>
        <w:tab/>
        <w:tab/>
        <w:tab/>
        <w:tab/>
        <w:tab/>
        <w:tab/>
        <w:t>Title:</w:t>
      </w:r>
      <w:r>
        <w:rPr>
          <w:sz w:val="22"/>
          <w:u w:val="single"/>
        </w:rPr>
        <w:tab/>
        <w:tab/>
        <w:tab/>
        <w:tab/>
        <w:tab/>
        <w:tab/>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pPr>
      <w:r>
        <w:rPr>
          <w:sz w:val="22"/>
        </w:rPr>
        <w:t xml:space="preserve">Contract No. </w:t>
      </w:r>
      <w:r>
        <w:rPr>
          <w:color w:val="FF0000"/>
          <w:sz w:val="22"/>
        </w:rPr>
        <w:t>M125385</w:t>
      </w:r>
    </w:p>
    <w:p>
      <w:pPr>
        <w:pStyle w:val="Normal"/>
        <w:jc w:val="both"/>
        <w:rPr>
          <w:color w:val="FF0000"/>
          <w:sz w:val="22"/>
        </w:rPr>
      </w:pPr>
      <w:r>
        <w:rPr>
          <w:color w:val="FF0000"/>
          <w:sz w:val="22"/>
        </w:rPr>
      </w:r>
    </w:p>
    <w:p>
      <w:pPr>
        <w:pStyle w:val="Normal"/>
        <w:jc w:val="both"/>
        <w:rPr>
          <w:color w:val="FF0000"/>
          <w:sz w:val="22"/>
        </w:rPr>
      </w:pPr>
      <w:r>
        <w:rPr>
          <w:color w:val="FF0000"/>
          <w:sz w:val="22"/>
        </w:rPr>
        <w:t>Enron Capital &amp; Trade Resources Canada Corp.</w:t>
      </w:r>
    </w:p>
    <w:p>
      <w:pPr>
        <w:pStyle w:val="Normal"/>
        <w:jc w:val="both"/>
        <w:rPr>
          <w:b/>
          <w:color w:val="FF0000"/>
          <w:sz w:val="22"/>
        </w:rPr>
      </w:pPr>
      <w:r>
        <w:rPr>
          <w:b/>
          <w:color w:val="FF0000"/>
          <w:sz w:val="22"/>
        </w:rPr>
      </w:r>
    </w:p>
    <w:p>
      <w:pPr>
        <w:pStyle w:val="Normal"/>
        <w:jc w:val="both"/>
        <w:rPr>
          <w:sz w:val="22"/>
        </w:rPr>
      </w:pPr>
      <w:r>
        <w:rPr>
          <w:sz w:val="22"/>
        </w:rPr>
        <w:t>By</w:t>
      </w:r>
      <w:r>
        <w:rPr>
          <w:sz w:val="22"/>
          <w:u w:val="single"/>
        </w:rPr>
        <w:t>:</w:t>
        <w:tab/>
        <w:tab/>
        <w:tab/>
        <w:tab/>
        <w:tab/>
      </w:r>
    </w:p>
    <w:p>
      <w:pPr>
        <w:pStyle w:val="Normal"/>
        <w:jc w:val="both"/>
        <w:rPr>
          <w:sz w:val="22"/>
        </w:rPr>
      </w:pPr>
      <w:r>
        <w:rPr>
          <w:sz w:val="22"/>
        </w:rPr>
        <w:t>Name:</w:t>
      </w:r>
      <w:r>
        <w:rPr>
          <w:sz w:val="22"/>
          <w:u w:val="single"/>
        </w:rPr>
        <w:tab/>
        <w:tab/>
        <w:tab/>
        <w:tab/>
        <w:tab/>
      </w:r>
    </w:p>
    <w:p>
      <w:pPr>
        <w:pStyle w:val="Normal"/>
        <w:jc w:val="both"/>
        <w:rPr/>
      </w:pPr>
      <w:r>
        <w:rPr>
          <w:sz w:val="22"/>
        </w:rPr>
        <w:t xml:space="preserve">Title: </w:t>
      </w:r>
      <w:r>
        <w:rPr>
          <w:sz w:val="22"/>
          <w:u w:val="single"/>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FF0000"/>
      <w:sz w:val="22"/>
    </w:rPr>
  </w:style>
  <w:style w:type="paragraph" w:styleId="Heading2">
    <w:name w:val="heading 2"/>
    <w:basedOn w:val="Normal"/>
    <w:next w:val="Normal"/>
    <w:qFormat/>
    <w:pPr>
      <w:keepNext w:val="true"/>
      <w:numPr>
        <w:ilvl w:val="1"/>
        <w:numId w:val="1"/>
      </w:numPr>
      <w:jc w:val="center"/>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629" w:start="0" w:end="0"/>
    </w:pPr>
    <w:rPr/>
  </w:style>
  <w:style w:type="paragraph" w:styleId="BodyTextIndent2">
    <w:name w:val="Body Text Indent 2"/>
    <w:basedOn w:val="Normal"/>
    <w:qFormat/>
    <w:pPr>
      <w:widowControl w:val="false"/>
      <w:ind w:hanging="0" w:start="719" w:end="0"/>
    </w:pPr>
    <w:rPr/>
  </w:style>
  <w:style w:type="paragraph" w:styleId="BodyText2">
    <w:name w:val="Body Text 2"/>
    <w:basedOn w:val="Normal"/>
    <w:qFormat/>
    <w:pPr>
      <w:widowControl w:val="false"/>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center">
    <w:name w:val="center"/>
    <w:basedOn w:val="Normal"/>
    <w:qFormat/>
    <w:pPr>
      <w:widowControl w:val="false"/>
      <w:jc w:val="center"/>
    </w:pPr>
    <w:rPr>
      <w:b/>
      <w:sz w:val="24"/>
      <w:u w:val="single"/>
    </w:rPr>
  </w:style>
  <w:style w:type="paragraph" w:styleId="Header">
    <w:name w:val="head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1999-04-09T16:33:00Z</dcterms:created>
  <dc:creator>laurel adams</dc:creator>
  <dc:description/>
  <dc:language>en-CA</dc:language>
  <cp:lastModifiedBy>laurel adams</cp:lastModifiedBy>
  <cp:lastPrinted>1998-11-17T15:25:00Z</cp:lastPrinted>
  <dcterms:modified xsi:type="dcterms:W3CDTF">1999-04-09T16:33:00Z</dcterms:modified>
  <cp:revision>2</cp:revision>
  <dc:subject/>
  <dc:title>2</dc:title>
</cp:coreProperties>
</file>