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51535" cy="8509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51535" cy="850900"/>
                          </a:xfrm>
                          <a:prstGeom prst="rect">
                            <a:avLst/>
                          </a:prstGeom>
                          <a:noFill/>
                        </pic:spPr>
                      </pic:pic>
                    </a:graphicData>
                  </a:graphic>
                </wp:inline>
              </w:drawing>
            </w:r>
          </w:p>
        </w:tc>
        <w:tc>
          <w:tcPr>
            <w:tcW w:w="7740" w:type="dxa"/>
            <w:tcBorders/>
          </w:tcPr>
          <w:p>
            <w:pPr>
              <w:pStyle w:val="Normal"/>
              <w:ind w:start="4122" w:end="0"/>
              <w:rPr/>
            </w:pPr>
            <w:r>
              <w:rPr/>
              <w:t xml:space="preserve">                                                                          </w:t>
            </w:r>
            <w:r>
              <w:rPr>
                <w:b/>
                <w:bCs/>
              </w:rPr>
              <w:t xml:space="preserve">Enron Power Marketing, Inc.   </w:t>
            </w:r>
            <w:r>
              <w:rPr/>
              <w:t xml:space="preserve">                                                                                 </w:t>
            </w:r>
            <w:r>
              <w:rPr>
                <w:sz w:val="16"/>
              </w:rPr>
              <w:t xml:space="preserve">                </w:t>
            </w:r>
            <w:r>
              <w:rPr>
                <w:i/>
                <w:sz w:val="16"/>
              </w:rPr>
              <w:t>P.O. Box 4428                                                                                                             Houston, Texas 77210-4428</w:t>
            </w:r>
            <w:r>
              <w:rPr>
                <w:sz w:val="16"/>
              </w:rPr>
              <w:t xml:space="preserve">                                                                                                                         </w:t>
            </w:r>
            <w:r>
              <w:rPr>
                <w:rFonts w:cs="Arial" w:ascii="Arial" w:hAnsi="Arial"/>
                <w:i/>
                <w:sz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sz w:val="26"/>
        </w:rPr>
      </w:pPr>
      <w:r>
        <w:rPr>
          <w:sz w:val="26"/>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bCs/>
          <w:sz w:val="18"/>
        </w:rPr>
      </w:pPr>
      <w:r>
        <w:rPr>
          <w:rFonts w:cs="Arial" w:ascii="Arial" w:hAnsi="Arial"/>
          <w:bCs/>
          <w:sz w:val="18"/>
        </w:rPr>
        <w:fldChar w:fldCharType="begin"/>
      </w:r>
      <w:r>
        <w:rPr>
          <w:sz w:val="18"/>
          <w:bCs/>
          <w:rFonts w:cs="Arial" w:ascii="Arial" w:hAnsi="Arial"/>
        </w:rPr>
        <w:instrText xml:space="preserve"> MERGEFIELD DateToday </w:instrText>
      </w:r>
      <w:r>
        <w:rPr>
          <w:sz w:val="18"/>
          <w:bCs/>
          <w:rFonts w:cs="Arial" w:ascii="Arial" w:hAnsi="Arial"/>
        </w:rPr>
        <w:fldChar w:fldCharType="separate"/>
      </w:r>
      <w:r>
        <w:rPr>
          <w:sz w:val="18"/>
          <w:bCs/>
          <w:rFonts w:cs="Arial" w:ascii="Arial" w:hAnsi="Arial"/>
        </w:rPr>
        <w:t>April 17, 2001</w:t>
      </w:r>
      <w:r>
        <w:rPr>
          <w:sz w:val="18"/>
          <w:bCs/>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bCs/>
          <w:sz w:val="18"/>
        </w:rPr>
      </w:pPr>
      <w:r>
        <w:rPr>
          <w:rFonts w:cs="Arial" w:ascii="Arial" w:hAnsi="Arial"/>
          <w:bCs/>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bCs/>
          <w:sz w:val="18"/>
        </w:rPr>
      </w:pPr>
      <w:r>
        <w:rPr>
          <w:rFonts w:cs="Arial" w:ascii="Arial" w:hAnsi="Arial"/>
          <w:bCs/>
          <w:sz w:val="18"/>
        </w:rPr>
        <w:fldChar w:fldCharType="begin"/>
      </w:r>
      <w:r>
        <w:rPr>
          <w:sz w:val="18"/>
          <w:bCs/>
          <w:rFonts w:cs="Arial" w:ascii="Arial" w:hAnsi="Arial"/>
        </w:rPr>
        <w:instrText xml:space="preserve"> MERGEFIELD CounterpartyContact </w:instrText>
      </w:r>
      <w:r>
        <w:rPr>
          <w:sz w:val="18"/>
          <w:bCs/>
          <w:rFonts w:cs="Arial" w:ascii="Arial" w:hAnsi="Arial"/>
        </w:rPr>
        <w:fldChar w:fldCharType="separate"/>
      </w:r>
      <w:r>
        <w:rPr>
          <w:sz w:val="18"/>
          <w:bCs/>
          <w:rFonts w:cs="Arial" w:ascii="Arial" w:hAnsi="Arial"/>
        </w:rPr>
        <w:t>Kyler Cornish</w:t>
      </w:r>
      <w:r>
        <w:rPr>
          <w:sz w:val="18"/>
          <w:bCs/>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bCs/>
          <w:sz w:val="18"/>
        </w:rPr>
      </w:pPr>
      <w:r>
        <w:rPr>
          <w:rFonts w:cs="Arial" w:ascii="Arial" w:hAnsi="Arial"/>
          <w:bCs/>
          <w:sz w:val="18"/>
        </w:rPr>
        <w:fldChar w:fldCharType="begin"/>
      </w:r>
      <w:r>
        <w:rPr>
          <w:sz w:val="18"/>
          <w:bCs/>
          <w:rFonts w:cs="Arial" w:ascii="Arial" w:hAnsi="Arial"/>
        </w:rPr>
        <w:instrText xml:space="preserve"> MERGEFIELD CounterpartyName </w:instrText>
      </w:r>
      <w:r>
        <w:rPr>
          <w:sz w:val="18"/>
          <w:bCs/>
          <w:rFonts w:cs="Arial" w:ascii="Arial" w:hAnsi="Arial"/>
        </w:rPr>
        <w:fldChar w:fldCharType="separate"/>
      </w:r>
      <w:r>
        <w:rPr>
          <w:sz w:val="18"/>
          <w:bCs/>
          <w:rFonts w:cs="Arial" w:ascii="Arial" w:hAnsi="Arial"/>
        </w:rPr>
        <w:t>Entergy Services, Inc.</w:t>
      </w:r>
      <w:r>
        <w:rPr>
          <w:sz w:val="18"/>
          <w:bCs/>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bCs/>
          <w:sz w:val="18"/>
        </w:rPr>
      </w:pPr>
      <w:r>
        <w:rPr>
          <w:rFonts w:cs="Arial" w:ascii="Arial" w:hAnsi="Arial"/>
          <w:bCs/>
          <w:sz w:val="18"/>
        </w:rPr>
        <w:fldChar w:fldCharType="begin"/>
      </w:r>
      <w:r>
        <w:rPr>
          <w:sz w:val="18"/>
          <w:bCs/>
          <w:rFonts w:cs="Arial" w:ascii="Arial" w:hAnsi="Arial"/>
        </w:rPr>
        <w:instrText xml:space="preserve"> MERGEFIELD CounterpartyAddr1 </w:instrText>
      </w:r>
      <w:r>
        <w:rPr>
          <w:sz w:val="18"/>
          <w:bCs/>
          <w:rFonts w:cs="Arial" w:ascii="Arial" w:hAnsi="Arial"/>
        </w:rPr>
        <w:fldChar w:fldCharType="separate"/>
      </w:r>
      <w:r>
        <w:rPr>
          <w:sz w:val="18"/>
          <w:bCs/>
          <w:rFonts w:cs="Arial" w:ascii="Arial" w:hAnsi="Arial"/>
        </w:rPr>
        <w:t>Parkwood 2 Bldg Ste 300</w:t>
      </w:r>
      <w:r>
        <w:rPr>
          <w:sz w:val="18"/>
          <w:bCs/>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bCs/>
          <w:sz w:val="18"/>
        </w:rPr>
      </w:pPr>
      <w:r>
        <w:rPr>
          <w:rFonts w:cs="Arial" w:ascii="Arial" w:hAnsi="Arial"/>
          <w:bCs/>
          <w:sz w:val="18"/>
        </w:rPr>
        <w:fldChar w:fldCharType="begin"/>
      </w:r>
      <w:r>
        <w:rPr>
          <w:sz w:val="18"/>
          <w:bCs/>
          <w:rFonts w:cs="Arial" w:ascii="Arial" w:hAnsi="Arial"/>
        </w:rPr>
        <w:instrText xml:space="preserve"> MERGEFIELD CounterpartyAddr2 </w:instrText>
      </w:r>
      <w:r>
        <w:rPr>
          <w:sz w:val="18"/>
          <w:bCs/>
          <w:rFonts w:cs="Arial" w:ascii="Arial" w:hAnsi="Arial"/>
        </w:rPr>
        <w:fldChar w:fldCharType="separate"/>
      </w:r>
      <w:r>
        <w:rPr>
          <w:sz w:val="18"/>
          <w:bCs/>
          <w:rFonts w:cs="Arial" w:ascii="Arial" w:hAnsi="Arial"/>
        </w:rPr>
        <w:t>10055 Grogan’s Mill Rd</w:t>
      </w:r>
      <w:r>
        <w:rPr>
          <w:sz w:val="18"/>
          <w:bCs/>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bCs/>
          <w:sz w:val="18"/>
        </w:rPr>
      </w:pPr>
      <w:r>
        <w:rPr>
          <w:rFonts w:cs="Arial" w:ascii="Arial" w:hAnsi="Arial"/>
          <w:bCs/>
          <w:sz w:val="18"/>
        </w:rPr>
        <w:fldChar w:fldCharType="begin"/>
      </w:r>
      <w:r>
        <w:rPr>
          <w:sz w:val="18"/>
          <w:bCs/>
          <w:rFonts w:cs="Arial" w:ascii="Arial" w:hAnsi="Arial"/>
        </w:rPr>
        <w:instrText xml:space="preserve"> MERGEFIELD CounterpartyAddrCity </w:instrText>
      </w:r>
      <w:r>
        <w:rPr>
          <w:sz w:val="18"/>
          <w:bCs/>
          <w:rFonts w:cs="Arial" w:ascii="Arial" w:hAnsi="Arial"/>
        </w:rPr>
        <w:fldChar w:fldCharType="separate"/>
      </w:r>
      <w:r>
        <w:rPr>
          <w:sz w:val="18"/>
          <w:bCs/>
          <w:rFonts w:cs="Arial" w:ascii="Arial" w:hAnsi="Arial"/>
        </w:rPr>
        <w:t xml:space="preserve">The Woodlands, </w:t>
      </w:r>
      <w:r>
        <w:rPr>
          <w:sz w:val="18"/>
          <w:bCs/>
          <w:rFonts w:cs="Arial" w:ascii="Arial" w:hAnsi="Arial"/>
        </w:rPr>
        <w:fldChar w:fldCharType="end"/>
      </w:r>
      <w:r>
        <w:rPr>
          <w:rFonts w:cs="Arial" w:ascii="Arial" w:hAnsi="Arial"/>
          <w:bCs/>
          <w:sz w:val="18"/>
        </w:rPr>
        <w:fldChar w:fldCharType="begin"/>
      </w:r>
      <w:r>
        <w:rPr>
          <w:sz w:val="18"/>
          <w:bCs/>
          <w:rFonts w:cs="Arial" w:ascii="Arial" w:hAnsi="Arial"/>
        </w:rPr>
        <w:instrText xml:space="preserve"> MERGEFIELD CounterpartyAddrState </w:instrText>
      </w:r>
      <w:r>
        <w:rPr>
          <w:sz w:val="18"/>
          <w:bCs/>
          <w:rFonts w:cs="Arial" w:ascii="Arial" w:hAnsi="Arial"/>
        </w:rPr>
        <w:fldChar w:fldCharType="separate"/>
      </w:r>
      <w:r>
        <w:rPr>
          <w:sz w:val="18"/>
          <w:bCs/>
          <w:rFonts w:cs="Arial" w:ascii="Arial" w:hAnsi="Arial"/>
        </w:rPr>
        <w:t>TX</w:t>
      </w:r>
      <w:r>
        <w:rPr>
          <w:sz w:val="18"/>
          <w:bCs/>
          <w:rFonts w:cs="Arial" w:ascii="Arial" w:hAnsi="Arial"/>
        </w:rPr>
        <w:fldChar w:fldCharType="end"/>
      </w:r>
      <w:r>
        <w:rPr>
          <w:rFonts w:cs="Arial" w:ascii="Arial" w:hAnsi="Arial"/>
          <w:bCs/>
          <w:sz w:val="18"/>
        </w:rPr>
        <w:fldChar w:fldCharType="begin"/>
      </w:r>
      <w:r>
        <w:rPr>
          <w:sz w:val="18"/>
          <w:bCs/>
          <w:rFonts w:cs="Arial" w:ascii="Arial" w:hAnsi="Arial"/>
        </w:rPr>
        <w:instrText xml:space="preserve"> MERGEFIELD CounterpartyAddrZip </w:instrText>
      </w:r>
      <w:r>
        <w:rPr>
          <w:sz w:val="18"/>
          <w:bCs/>
          <w:rFonts w:cs="Arial" w:ascii="Arial" w:hAnsi="Arial"/>
        </w:rPr>
        <w:fldChar w:fldCharType="separate"/>
      </w:r>
      <w:r>
        <w:rPr>
          <w:sz w:val="18"/>
          <w:bCs/>
          <w:rFonts w:cs="Arial" w:ascii="Arial" w:hAnsi="Arial"/>
        </w:rPr>
        <w:t>77380</w:t>
      </w:r>
      <w:r>
        <w:rPr>
          <w:sz w:val="18"/>
          <w:bCs/>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bCs/>
          <w:sz w:val="18"/>
        </w:rPr>
      </w:pPr>
      <w:r>
        <w:rPr>
          <w:rFonts w:cs="Arial" w:ascii="Arial" w:hAnsi="Arial"/>
          <w:bCs/>
          <w:sz w:val="18"/>
        </w:rPr>
        <w:t xml:space="preserve">Fax No. </w:t>
      </w:r>
      <w:r>
        <w:rPr>
          <w:rFonts w:cs="Arial" w:ascii="Arial" w:hAnsi="Arial"/>
          <w:bCs/>
          <w:sz w:val="18"/>
        </w:rPr>
        <w:fldChar w:fldCharType="begin"/>
      </w:r>
      <w:r>
        <w:rPr>
          <w:sz w:val="18"/>
          <w:bCs/>
          <w:rFonts w:cs="Arial" w:ascii="Arial" w:hAnsi="Arial"/>
        </w:rPr>
        <w:instrText xml:space="preserve"> MERGEFIELD CounterpartyFax </w:instrText>
      </w:r>
      <w:r>
        <w:rPr>
          <w:sz w:val="18"/>
          <w:bCs/>
          <w:rFonts w:cs="Arial" w:ascii="Arial" w:hAnsi="Arial"/>
        </w:rPr>
        <w:fldChar w:fldCharType="separate"/>
      </w:r>
      <w:r>
        <w:rPr>
          <w:sz w:val="18"/>
          <w:bCs/>
          <w:rFonts w:cs="Arial" w:ascii="Arial" w:hAnsi="Arial"/>
        </w:rPr>
        <w:t>(281) 297-3733</w:t>
      </w:r>
      <w:r>
        <w:rPr>
          <w:sz w:val="18"/>
          <w:bCs/>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bCs/>
          <w:sz w:val="18"/>
        </w:rPr>
      </w:pPr>
      <w:r>
        <w:rPr>
          <w:rFonts w:cs="Arial" w:ascii="Arial" w:hAnsi="Arial"/>
          <w:bCs/>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bCs/>
          <w:sz w:val="18"/>
        </w:rPr>
      </w:pPr>
      <w:r>
        <w:rPr>
          <w:rFonts w:cs="Arial" w:ascii="Arial" w:hAnsi="Arial"/>
          <w:bCs/>
          <w:sz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cs="Arial"/>
          <w:bCs/>
          <w:sz w:val="18"/>
        </w:rPr>
      </w:pPr>
      <w:r>
        <w:rPr>
          <w:rFonts w:cs="Arial" w:ascii="Arial" w:hAnsi="Arial"/>
          <w:bCs/>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This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April 17,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Entergy Services, Inc.</w:t>
      </w:r>
      <w:r>
        <w:rPr>
          <w:sz w:val="18"/>
          <w:rFonts w:cs="Arial" w:ascii="Arial" w:hAnsi="Arial"/>
        </w:rPr>
        <w:fldChar w:fldCharType="end"/>
      </w:r>
      <w:r>
        <w:rPr>
          <w:rFonts w:cs="Arial" w:ascii="Arial" w:hAnsi="Arial"/>
          <w:sz w:val="18"/>
        </w:rPr>
        <w:t xml:space="preserve"> as agent for Entergy New Orleans, Inc., Entergy Louisiana, Inc., Entergy Arkansas, Inc., Entergy Mississippi, Inc. and Entergy Gulf States, Inc.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w:t>
      </w:r>
      <w:r>
        <w:rPr>
          <w:rFonts w:cs="Arial" w:ascii="Arial" w:hAnsi="Arial"/>
          <w:sz w:val="18"/>
        </w:rPr>
        <w:fldChar w:fldCharType="begin"/>
      </w:r>
      <w:r>
        <w:rPr>
          <w:sz w:val="18"/>
          <w:rFonts w:cs="Arial" w:ascii="Arial" w:hAnsi="Arial"/>
        </w:rPr>
        <w:instrText xml:space="preserve"> MERGEFIELD OptSeller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r>
        <w:rPr>
          <w:rFonts w:cs="Arial" w:ascii="Arial" w:hAnsi="Arial"/>
          <w:sz w:val="18"/>
        </w:rPr>
        <w:t xml:space="preserve">’s sale of a </w:t>
      </w:r>
      <w:r>
        <w:rPr>
          <w:rFonts w:cs="Arial" w:ascii="Arial" w:hAnsi="Arial"/>
          <w:sz w:val="18"/>
        </w:rPr>
        <w:fldChar w:fldCharType="begin"/>
      </w:r>
      <w:r>
        <w:rPr>
          <w:sz w:val="18"/>
          <w:rFonts w:cs="Arial" w:ascii="Arial" w:hAnsi="Arial"/>
        </w:rPr>
        <w:instrText xml:space="preserve"> MERGEFIELD InstrTypeCallPut </w:instrText>
      </w:r>
      <w:r>
        <w:rPr>
          <w:sz w:val="18"/>
          <w:rFonts w:cs="Arial" w:ascii="Arial" w:hAnsi="Arial"/>
        </w:rPr>
        <w:fldChar w:fldCharType="separate"/>
      </w:r>
      <w:r>
        <w:rPr>
          <w:sz w:val="18"/>
          <w:rFonts w:cs="Arial" w:ascii="Arial" w:hAnsi="Arial"/>
        </w:rPr>
        <w:t>Call</w:t>
      </w:r>
      <w:r>
        <w:rPr>
          <w:sz w:val="18"/>
          <w:rFonts w:cs="Arial" w:ascii="Arial" w:hAnsi="Arial"/>
        </w:rPr>
        <w:fldChar w:fldCharType="end"/>
      </w:r>
      <w:r>
        <w:rPr>
          <w:rFonts w:cs="Arial" w:ascii="Arial" w:hAnsi="Arial"/>
          <w:sz w:val="18"/>
        </w:rPr>
        <w:t xml:space="preserve"> option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t xml:space="preserve">Enron Power Marketing, Inc. </w:t>
      </w:r>
      <w:r>
        <w:rPr>
          <w:rFonts w:cs="Arial" w:ascii="Arial" w:hAnsi="Arial"/>
          <w:sz w:val="18"/>
        </w:rPr>
        <w:fldChar w:fldCharType="begin"/>
      </w:r>
      <w:r>
        <w:rPr>
          <w:sz w:val="18"/>
          <w:rFonts w:cs="Arial" w:ascii="Arial" w:hAnsi="Arial"/>
        </w:rPr>
        <w:instrText xml:space="preserve"> MERGEFIELD EnronOptRole </w:instrText>
      </w:r>
      <w:r>
        <w:rPr>
          <w:sz w:val="18"/>
          <w:rFonts w:cs="Arial" w:ascii="Arial" w:hAnsi="Arial"/>
        </w:rPr>
        <w:fldChar w:fldCharType="separate"/>
      </w:r>
      <w:r>
        <w:rPr>
          <w:sz w:val="18"/>
          <w:rFonts w:cs="Arial" w:ascii="Arial" w:hAnsi="Arial"/>
        </w:rPr>
        <w:t>is obligated to sell and deliver</w:t>
      </w:r>
      <w:r>
        <w:rPr>
          <w:sz w:val="18"/>
          <w:rFonts w:cs="Arial" w:ascii="Arial" w:hAnsi="Arial"/>
        </w:rPr>
        <w:fldChar w:fldCharType="end"/>
      </w:r>
      <w:r>
        <w:rPr>
          <w:rFonts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Entergy Services, Inc.</w:t>
      </w:r>
      <w:r>
        <w:rPr>
          <w:sz w:val="18"/>
          <w:rFonts w:cs="Arial" w:ascii="Arial" w:hAnsi="Arial"/>
        </w:rPr>
        <w:fldChar w:fldCharType="end"/>
      </w:r>
      <w:r>
        <w:rPr>
          <w:rFonts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CounterpartyOptRole </w:instrText>
      </w:r>
      <w:r>
        <w:rPr>
          <w:sz w:val="18"/>
          <w:rFonts w:cs="Arial" w:ascii="Arial" w:hAnsi="Arial"/>
        </w:rPr>
        <w:fldChar w:fldCharType="separate"/>
      </w:r>
      <w:r>
        <w:rPr>
          <w:sz w:val="18"/>
          <w:rFonts w:cs="Arial" w:ascii="Arial" w:hAnsi="Arial"/>
        </w:rPr>
        <w:t>has the option to purchase and receive</w:t>
      </w:r>
      <w:r>
        <w:rPr>
          <w:sz w:val="18"/>
          <w:rFonts w:cs="Arial" w:ascii="Arial" w:hAnsi="Arial"/>
        </w:rPr>
        <w:fldChar w:fldCharType="end"/>
      </w:r>
      <w:r>
        <w:rPr>
          <w:rFonts w:cs="Arial" w:ascii="Arial" w:hAnsi="Arial"/>
          <w:sz w:val="18"/>
        </w:rPr>
        <w:t>.</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Term:</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Friday, June 1, 2001 through Saturday, June 30, 2001. </w:t>
              <w:t xml:space="preserve">Hour Ending (HE) 0700 through HE 2200 (16 Hours each day), </w:t>
              <w:t xml:space="preserve">Monday through Friday only, excluding NERC Holidays; </w:t>
              <w:t xml:space="preserve">Central Daylight Time. </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648" w:type="dxa"/>
        <w:jc w:val="start"/>
        <w:tblInd w:w="0" w:type="dxa"/>
        <w:tblLayout w:type="fixed"/>
        <w:tblCellMar>
          <w:top w:w="0" w:type="dxa"/>
          <w:start w:w="108" w:type="dxa"/>
          <w:bottom w:w="0" w:type="dxa"/>
          <w:end w:w="108" w:type="dxa"/>
        </w:tblCellMar>
      </w:tblPr>
      <w:tblGrid>
        <w:gridCol w:w="1458"/>
        <w:gridCol w:w="8190"/>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rFonts w:ascii="Arial" w:hAnsi="Arial" w:cs="Arial"/>
                <w:sz w:val="18"/>
              </w:rPr>
            </w:pPr>
            <w:r>
              <w:rPr>
                <w:rFonts w:cs="Arial" w:ascii="Arial" w:hAnsi="Arial"/>
                <w:sz w:val="18"/>
              </w:rPr>
              <w:t>Commodity:</w:t>
            </w:r>
          </w:p>
        </w:tc>
        <w:tc>
          <w:tcPr>
            <w:tcW w:w="8190" w:type="dxa"/>
            <w:tcBorders/>
          </w:tcPr>
          <w:p>
            <w:pPr>
              <w:pStyle w:val="Normal"/>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rFonts w:ascii="Arial" w:hAnsi="Arial" w:cs="Arial"/>
                <w:sz w:val="18"/>
              </w:rPr>
            </w:pPr>
            <w:r>
              <w:rPr>
                <w:rFonts w:cs="Arial" w:ascii="Arial" w:hAnsi="Arial"/>
                <w:sz w:val="18"/>
              </w:rPr>
              <w:t>Service Schedule A energy, as modified by the agreement of the parties as set forth in this Confirmation Agreement.</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Strike Price:</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$200.00/MWh.</w:t>
            </w:r>
            <w:r>
              <w:rPr>
                <w:sz w:val="18"/>
                <w:rFonts w:cs="Arial" w:ascii="Arial" w:hAnsi="Arial"/>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Premium:</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OptionPremiumAmt </w:instrText>
            </w:r>
            <w:r>
              <w:rPr>
                <w:sz w:val="18"/>
                <w:rFonts w:cs="Arial" w:ascii="Arial" w:hAnsi="Arial"/>
              </w:rPr>
              <w:fldChar w:fldCharType="separate"/>
            </w:r>
            <w:r>
              <w:rPr>
                <w:sz w:val="18"/>
                <w:rFonts w:cs="Arial" w:ascii="Arial" w:hAnsi="Arial"/>
              </w:rPr>
              <w:t>US Dollars $14.00/MWh</w:t>
            </w:r>
            <w:r>
              <w:rPr>
                <w:sz w:val="18"/>
                <w:rFonts w:cs="Arial" w:ascii="Arial" w:hAnsi="Arial"/>
              </w:rPr>
              <w:fldChar w:fldCharType="end"/>
            </w:r>
            <w:r>
              <w:rPr>
                <w:rFonts w:eastAsia="Arial" w:cs="Arial" w:ascii="Arial" w:hAnsi="Arial"/>
                <w:sz w:val="18"/>
              </w:rPr>
              <w:t xml:space="preserve"> </w:t>
            </w:r>
            <w:r>
              <w:rPr>
                <w:rFonts w:cs="Arial" w:ascii="Arial" w:hAnsi="Arial"/>
                <w:sz w:val="18"/>
              </w:rPr>
              <w:t>to be paid within five (5) business days from receipt of invoice.</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Quantity:</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200</w:t>
            </w:r>
            <w:r>
              <w:rPr>
                <w:sz w:val="18"/>
                <w:rFonts w:cs="Arial" w:ascii="Arial" w:hAnsi="Arial"/>
              </w:rPr>
              <w:fldChar w:fldCharType="end"/>
            </w:r>
            <w:r>
              <w:rPr>
                <w:rFonts w:cs="Arial" w:ascii="Arial" w:hAnsi="Arial"/>
                <w:sz w:val="18"/>
              </w:rPr>
              <w:t xml:space="preserve">Mws of Firm (LD) Energy per hour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67,200 MWh</w:t>
            </w:r>
            <w:r>
              <w:rPr>
                <w:sz w:val="18"/>
                <w:rFonts w:cs="Arial" w:ascii="Arial" w:hAnsi="Arial"/>
              </w:rPr>
              <w:fldChar w:fldCharType="end"/>
            </w:r>
            <w:r>
              <w:rPr>
                <w:rFonts w:cs="Arial" w:ascii="Arial" w:hAnsi="Arial"/>
                <w:sz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Delivery Point:</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Into Entergy System Border</w:t>
            </w:r>
            <w:r>
              <w:rPr>
                <w:sz w:val="18"/>
                <w:rFonts w:cs="Arial" w:ascii="Arial" w:hAnsi="Arial"/>
              </w:rPr>
              <w:fldChar w:fldCharType="end"/>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(As an “Into Entergy” product, Seller shall have the right, on a daily basis, to select the Interface at which the Contract Quantity shall be delivered.  Seller may delivery the Contract Quantity to an interface at which there is firm transmission available at the time of scheduling.  Firm transmission shall include, but not be limited to, Daily Firm Network on the Entergy Transmission System.  If Seller elects to deliver the Contract Quantity to any Interface at which there is only non-firm transmission available at the time of scheduling, then Seller shall bear the risk of such non-firm transmission being curtailed subject to the Liability and Damages provisions below.)</w:t>
            </w:r>
          </w:p>
        </w:tc>
      </w:tr>
    </w:tbl>
    <w:p>
      <w:pPr>
        <w:pStyle w:val="Normal"/>
        <w:jc w:val="both"/>
        <w:rPr>
          <w:rFonts w:ascii="Arial" w:hAnsi="Arial" w:cs="Arial"/>
          <w:sz w:val="18"/>
          <w:u w:val="single"/>
        </w:rPr>
      </w:pPr>
      <w:r>
        <w:rPr>
          <w:rFonts w:cs="Arial" w:ascii="Arial" w:hAnsi="Arial"/>
          <w:sz w:val="18"/>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cs="Arial"/>
          <w:sz w:val="18"/>
        </w:rPr>
      </w:pPr>
      <w:r>
        <w:rPr>
          <w:rFonts w:cs="Arial" w:ascii="Arial" w:hAnsi="Arial"/>
          <w:sz w:val="18"/>
        </w:rPr>
        <w:t>Scheduling:</w:t>
        <w:tab/>
        <w:t>EPMI Real Time Operations: 1-877-367-6601</w:t>
      </w:r>
    </w:p>
    <w:p>
      <w:pPr>
        <w:pStyle w:val="Normal"/>
        <w:jc w:val="both"/>
        <w:rPr>
          <w:rFonts w:ascii="Arial" w:hAnsi="Arial" w:cs="Arial"/>
          <w:sz w:val="18"/>
        </w:rPr>
      </w:pPr>
      <w:r>
        <w:rPr>
          <w:rFonts w:cs="Arial" w:ascii="Arial" w:hAnsi="Arial"/>
          <w:sz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jc w:val="both"/>
              <w:rPr>
                <w:rFonts w:ascii="Arial" w:hAnsi="Arial" w:cs="Arial"/>
                <w:sz w:val="18"/>
              </w:rPr>
            </w:pPr>
            <w:r>
              <w:rPr>
                <w:rFonts w:cs="Arial" w:ascii="Arial" w:hAnsi="Arial"/>
                <w:sz w:val="18"/>
              </w:rPr>
              <w:t>Special</w:t>
            </w:r>
          </w:p>
          <w:p>
            <w:pPr>
              <w:pStyle w:val="Normal"/>
              <w:jc w:val="both"/>
              <w:rPr>
                <w:rFonts w:ascii="Arial" w:hAnsi="Arial" w:cs="Arial"/>
                <w:sz w:val="18"/>
              </w:rPr>
            </w:pPr>
            <w:r>
              <w:rPr>
                <w:rFonts w:cs="Arial" w:ascii="Arial" w:hAnsi="Arial"/>
                <w:sz w:val="18"/>
              </w:rPr>
              <w:t>Condition:</w:t>
            </w:r>
          </w:p>
        </w:tc>
        <w:tc>
          <w:tcPr>
            <w:tcW w:w="8118" w:type="dxa"/>
            <w:tcBorders/>
          </w:tcPr>
          <w:p>
            <w:pPr>
              <w:pStyle w:val="Normal"/>
              <w:jc w:val="both"/>
              <w:rPr/>
            </w:pPr>
            <w:r>
              <w:rPr>
                <w:rFonts w:cs="Arial" w:ascii="Arial" w:hAnsi="Arial"/>
                <w:sz w:val="18"/>
              </w:rPr>
              <w:t xml:space="preserve">For the term of this Agreement, </w:t>
            </w:r>
            <w:r>
              <w:rPr>
                <w:rFonts w:cs="Arial" w:ascii="Arial" w:hAnsi="Arial"/>
                <w:sz w:val="18"/>
              </w:rPr>
              <w:fldChar w:fldCharType="begin"/>
            </w:r>
            <w:r>
              <w:rPr>
                <w:sz w:val="18"/>
                <w:rFonts w:cs="Arial" w:ascii="Arial" w:hAnsi="Arial"/>
              </w:rPr>
              <w:instrText xml:space="preserve"> MERGEFIELD OptPurchaser </w:instrText>
            </w:r>
            <w:r>
              <w:rPr>
                <w:sz w:val="18"/>
                <w:rFonts w:cs="Arial" w:ascii="Arial" w:hAnsi="Arial"/>
              </w:rPr>
              <w:fldChar w:fldCharType="separate"/>
            </w:r>
            <w:r>
              <w:rPr>
                <w:sz w:val="18"/>
                <w:rFonts w:cs="Arial" w:ascii="Arial" w:hAnsi="Arial"/>
              </w:rPr>
              <w:t>Entergy Services, Inc.</w:t>
            </w:r>
            <w:r>
              <w:rPr>
                <w:sz w:val="18"/>
                <w:rFonts w:cs="Arial" w:ascii="Arial" w:hAnsi="Arial"/>
              </w:rPr>
              <w:fldChar w:fldCharType="end"/>
            </w:r>
            <w:r>
              <w:rPr>
                <w:rFonts w:cs="Arial" w:ascii="Arial" w:hAnsi="Arial"/>
                <w:sz w:val="18"/>
              </w:rPr>
              <w:t xml:space="preserve"> has the </w:t>
            </w:r>
            <w:r>
              <w:rPr>
                <w:rFonts w:cs="Arial" w:ascii="Arial" w:hAnsi="Arial"/>
                <w:sz w:val="18"/>
              </w:rPr>
              <w:fldChar w:fldCharType="begin"/>
            </w:r>
            <w:r>
              <w:rPr>
                <w:sz w:val="18"/>
                <w:rFonts w:cs="Arial" w:ascii="Arial" w:hAnsi="Arial"/>
              </w:rPr>
              <w:instrText xml:space="preserve"> MERGEFIELD OptionExpiryFreq </w:instrText>
            </w:r>
            <w:r>
              <w:rPr>
                <w:sz w:val="18"/>
                <w:rFonts w:cs="Arial" w:ascii="Arial" w:hAnsi="Arial"/>
              </w:rPr>
              <w:fldChar w:fldCharType="separate"/>
            </w:r>
            <w:r>
              <w:rPr>
                <w:sz w:val="18"/>
                <w:rFonts w:cs="Arial" w:ascii="Arial" w:hAnsi="Arial"/>
              </w:rPr>
              <w:t>daily</w:t>
            </w:r>
            <w:r>
              <w:rPr>
                <w:sz w:val="18"/>
                <w:rFonts w:cs="Arial" w:ascii="Arial" w:hAnsi="Arial"/>
              </w:rPr>
              <w:fldChar w:fldCharType="end"/>
            </w:r>
            <w:r>
              <w:rPr>
                <w:rFonts w:cs="Arial" w:ascii="Arial" w:hAnsi="Arial"/>
                <w:sz w:val="18"/>
              </w:rPr>
              <w:t xml:space="preserve"> right but not the obligation </w:t>
            </w:r>
            <w:r>
              <w:rPr>
                <w:rFonts w:cs="Arial" w:ascii="Arial" w:hAnsi="Arial"/>
                <w:sz w:val="18"/>
              </w:rPr>
              <w:fldChar w:fldCharType="begin"/>
            </w:r>
            <w:r>
              <w:rPr>
                <w:sz w:val="18"/>
                <w:rFonts w:cs="Arial" w:ascii="Arial" w:hAnsi="Arial"/>
              </w:rPr>
              <w:instrText xml:space="preserve"> MERGEFIELD OptPurchaserRole </w:instrText>
            </w:r>
            <w:r>
              <w:rPr>
                <w:sz w:val="18"/>
                <w:rFonts w:cs="Arial" w:ascii="Arial" w:hAnsi="Arial"/>
              </w:rPr>
              <w:fldChar w:fldCharType="separate"/>
            </w:r>
            <w:r>
              <w:rPr>
                <w:sz w:val="18"/>
                <w:rFonts w:cs="Arial" w:ascii="Arial" w:hAnsi="Arial"/>
              </w:rPr>
              <w:t>to purchase and receive</w:t>
            </w:r>
            <w:r>
              <w:rPr>
                <w:sz w:val="18"/>
                <w:rFonts w:cs="Arial" w:ascii="Arial" w:hAnsi="Arial"/>
              </w:rPr>
              <w:fldChar w:fldCharType="end"/>
            </w:r>
            <w:r>
              <w:rPr>
                <w:rFonts w:cs="Arial" w:ascii="Arial" w:hAnsi="Arial"/>
                <w:sz w:val="18"/>
              </w:rPr>
              <w:t xml:space="preserve"> </w:t>
            </w: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200</w:t>
            </w:r>
            <w:r>
              <w:rPr>
                <w:sz w:val="18"/>
                <w:rFonts w:cs="Arial" w:ascii="Arial" w:hAnsi="Arial"/>
              </w:rPr>
              <w:fldChar w:fldCharType="end"/>
            </w:r>
            <w:r>
              <w:rPr>
                <w:rFonts w:cs="Arial" w:ascii="Arial" w:hAnsi="Arial"/>
                <w:sz w:val="18"/>
              </w:rPr>
              <w:t xml:space="preserve">Mws of Firm (LD) Energy per hour at the Strike Price above. In order to exercise its </w:t>
            </w:r>
            <w:r>
              <w:rPr>
                <w:rFonts w:cs="Arial" w:ascii="Arial" w:hAnsi="Arial"/>
                <w:sz w:val="18"/>
              </w:rPr>
              <w:fldChar w:fldCharType="begin"/>
            </w:r>
            <w:r>
              <w:rPr>
                <w:sz w:val="18"/>
                <w:rFonts w:cs="Arial" w:ascii="Arial" w:hAnsi="Arial"/>
              </w:rPr>
              <w:instrText xml:space="preserve"> MERGEFIELD OptionExpiryFreq </w:instrText>
            </w:r>
            <w:r>
              <w:rPr>
                <w:sz w:val="18"/>
                <w:rFonts w:cs="Arial" w:ascii="Arial" w:hAnsi="Arial"/>
              </w:rPr>
              <w:fldChar w:fldCharType="separate"/>
            </w:r>
            <w:r>
              <w:rPr>
                <w:sz w:val="18"/>
                <w:rFonts w:cs="Arial" w:ascii="Arial" w:hAnsi="Arial"/>
              </w:rPr>
              <w:t>daily</w:t>
            </w:r>
            <w:r>
              <w:rPr>
                <w:sz w:val="18"/>
                <w:rFonts w:cs="Arial" w:ascii="Arial" w:hAnsi="Arial"/>
              </w:rPr>
              <w:fldChar w:fldCharType="end"/>
            </w:r>
            <w:r>
              <w:rPr>
                <w:rFonts w:cs="Arial" w:ascii="Arial" w:hAnsi="Arial"/>
                <w:sz w:val="18"/>
              </w:rPr>
              <w:t xml:space="preserve"> option, </w:t>
            </w:r>
            <w:r>
              <w:rPr>
                <w:rFonts w:cs="Arial" w:ascii="Arial" w:hAnsi="Arial"/>
                <w:sz w:val="18"/>
              </w:rPr>
              <w:fldChar w:fldCharType="begin"/>
            </w:r>
            <w:r>
              <w:rPr>
                <w:sz w:val="18"/>
                <w:rFonts w:cs="Arial" w:ascii="Arial" w:hAnsi="Arial"/>
              </w:rPr>
              <w:instrText xml:space="preserve"> MERGEFIELD OptPurchaser </w:instrText>
            </w:r>
            <w:r>
              <w:rPr>
                <w:sz w:val="18"/>
                <w:rFonts w:cs="Arial" w:ascii="Arial" w:hAnsi="Arial"/>
              </w:rPr>
              <w:fldChar w:fldCharType="separate"/>
            </w:r>
            <w:r>
              <w:rPr>
                <w:sz w:val="18"/>
                <w:rFonts w:cs="Arial" w:ascii="Arial" w:hAnsi="Arial"/>
              </w:rPr>
              <w:t>Entergy Services, Inc.</w:t>
            </w:r>
            <w:r>
              <w:rPr>
                <w:sz w:val="18"/>
                <w:rFonts w:cs="Arial" w:ascii="Arial" w:hAnsi="Arial"/>
              </w:rPr>
              <w:fldChar w:fldCharType="end"/>
            </w:r>
            <w:r>
              <w:rPr>
                <w:rFonts w:cs="Arial" w:ascii="Arial" w:hAnsi="Arial"/>
                <w:sz w:val="18"/>
              </w:rPr>
              <w:t xml:space="preserve"> must provide telephone notice to </w:t>
            </w:r>
            <w:r>
              <w:rPr>
                <w:rFonts w:cs="Arial" w:ascii="Arial" w:hAnsi="Arial"/>
                <w:sz w:val="18"/>
              </w:rPr>
              <w:fldChar w:fldCharType="begin"/>
            </w:r>
            <w:r>
              <w:rPr>
                <w:sz w:val="18"/>
                <w:rFonts w:cs="Arial" w:ascii="Arial" w:hAnsi="Arial"/>
              </w:rPr>
              <w:instrText xml:space="preserve"> MERGEFIELD OptSeller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r>
              <w:rPr>
                <w:rFonts w:cs="Arial" w:ascii="Arial" w:hAnsi="Arial"/>
                <w:sz w:val="18"/>
              </w:rPr>
              <w:t xml:space="preserve">, no later than 9:15 a.m. CPT on the prior business day. </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t xml:space="preserve">If the Option is properly exercised, the parties shall be obligated to schedule, deliver and receive the Quantity for the period for which the Option is exercised. </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Daily pre-schedule by 11:00 a.m. CPT on the business day prior to delivery.  Delivery Point is any point Into Entergy System Border at  seller’s daily election.</w:t>
            </w:r>
            <w:r>
              <w:rPr>
                <w:sz w:val="18"/>
                <w:rFonts w:cs="Arial" w:ascii="Arial" w:hAnsi="Arial"/>
              </w:rPr>
              <w:fldChar w:fldCharType="end"/>
            </w:r>
          </w:p>
        </w:tc>
      </w:tr>
    </w:tbl>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r>
    </w:p>
    <w:p>
      <w:pPr>
        <w:pStyle w:val="Normal"/>
        <w:spacing w:before="120" w:after="0"/>
        <w:jc w:val="both"/>
        <w:rPr/>
      </w:pPr>
      <w:r>
        <w:rPr>
          <w:rFonts w:cs="Arial" w:ascii="Arial" w:hAnsi="Arial"/>
          <w:b/>
          <w:sz w:val="18"/>
          <w:u w:val="single"/>
        </w:rPr>
        <w:t>Liability and Damages</w:t>
      </w:r>
      <w:r>
        <w:rPr>
          <w:rFonts w:cs="Arial" w:ascii="Arial" w:hAnsi="Arial"/>
          <w:sz w:val="18"/>
        </w:rPr>
        <w:t>.  The Parties agree that the transaction agreed to by the parties and memorialized in this Confirmation Agreement shall be "Firm with liquidated damages", which means that the only instance in which a party shall be relieved of its obligation to sell and deliver or purchase and receive without liability is if such party's performance is excused due to an Uncontrollable Force (as defined in the WSPP Agreement).  Accordingly, if Seller fails to schedule and/or deliver all or part of the Contract Quantity and such failure is not excused by Uncontrollable Force or Purchaser's failure to perform, then Seller shall be liable to Buyer for damages pursuant to Section 21.3(a)(2) of the WSPP Agreement.  If Purchaser fails to schedule and/or receive all or part of the Contract Quantity and such failure is not excused by Uncontrollable Force or Seller's failure to perform, then Purchaser shall be liable to Seller for damages pursuant to Section 21.3(a)(1) of the WSPP Agreement.  The parties expressly agree that Section 21 of the WSPP Agreement applies to the transaction agreed to by the parties and memorialized in this Confirmation Letter.</w:t>
      </w:r>
    </w:p>
    <w:p>
      <w:pPr>
        <w:pStyle w:val="BodyText"/>
        <w:spacing w:before="120" w:after="0"/>
        <w:rPr/>
      </w:pPr>
      <w:r>
        <w:rPr>
          <w:rFonts w:cs="Arial" w:ascii="Arial" w:hAnsi="Arial"/>
          <w:sz w:val="18"/>
          <w:u w:val="single"/>
        </w:rPr>
        <w:t>Governing Agreement</w:t>
      </w:r>
      <w:r>
        <w:rPr>
          <w:rFonts w:cs="Arial" w:ascii="Arial" w:hAnsi="Arial"/>
          <w:b w:val="false"/>
          <w:sz w:val="18"/>
        </w:rPr>
        <w:t xml:space="preserve">.  This confirmation agreement constitutes a “Confirmation Agreement” pursuant to and in accordance with Western Systems Power Pool Agreement (“WSPP Agreement”), as amended periodically with FERC approval, to which </w:t>
      </w:r>
      <w:r>
        <w:rPr>
          <w:rFonts w:cs="Arial" w:ascii="Arial" w:hAnsi="Arial"/>
          <w:b w:val="false"/>
          <w:sz w:val="18"/>
        </w:rPr>
        <w:fldChar w:fldCharType="begin"/>
      </w:r>
      <w:r>
        <w:rPr>
          <w:sz w:val="18"/>
          <w:b w:val="false"/>
          <w:rFonts w:cs="Arial" w:ascii="Arial" w:hAnsi="Arial"/>
        </w:rPr>
        <w:instrText xml:space="preserve"> MERGEFIELD CounterpartyName </w:instrText>
      </w:r>
      <w:r>
        <w:rPr>
          <w:sz w:val="18"/>
          <w:b w:val="false"/>
          <w:rFonts w:cs="Arial" w:ascii="Arial" w:hAnsi="Arial"/>
        </w:rPr>
        <w:fldChar w:fldCharType="separate"/>
      </w:r>
      <w:r>
        <w:rPr>
          <w:sz w:val="18"/>
          <w:b w:val="false"/>
          <w:rFonts w:cs="Arial" w:ascii="Arial" w:hAnsi="Arial"/>
        </w:rPr>
        <w:t>Entergy Services, Inc.</w:t>
      </w:r>
      <w:r>
        <w:rPr>
          <w:sz w:val="18"/>
          <w:b w:val="false"/>
          <w:rFonts w:cs="Arial" w:ascii="Arial" w:hAnsi="Arial"/>
        </w:rPr>
        <w:fldChar w:fldCharType="end"/>
      </w:r>
      <w:r>
        <w:rPr>
          <w:rFonts w:cs="Arial" w:ascii="Arial" w:hAnsi="Arial"/>
          <w:b w:val="false"/>
          <w:sz w:val="18"/>
        </w:rPr>
        <w:t xml:space="preserve"> and EPMI are parties.  All provisions contained or incorporated by reference in the WSPP Agreement will govern this Confirmation Agreement except as expressly modified in this Confirmation Agreement.  Any inconsistency between any terms in the WSPP Agreement and any terms in this Confirmation Letter shall be resolved in favor of the terms of this Confirmation Letter</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b/>
          <w:sz w:val="18"/>
        </w:rPr>
      </w:pPr>
      <w:r>
        <w:rPr>
          <w:rFonts w:cs="Arial" w:ascii="Arial" w:hAnsi="Arial"/>
          <w:b/>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b/>
          <w:sz w:val="18"/>
          <w:u w:val="single"/>
        </w:rPr>
      </w:pPr>
      <w:r>
        <w:rPr>
          <w:rFonts w:cs="Arial" w:ascii="Arial" w:hAnsi="Arial"/>
          <w:b/>
          <w:sz w:val="18"/>
          <w:u w:val="single"/>
        </w:rPr>
        <w:t>Billing and Payment:</w:t>
      </w:r>
    </w:p>
    <w:p>
      <w:pPr>
        <w:pStyle w:val="Normal"/>
        <w:keepLines/>
        <w:tabs>
          <w:tab w:val="clear" w:pos="720"/>
          <w:tab w:val="left" w:pos="288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ind w:hanging="2160" w:start="2880" w:end="720"/>
        <w:jc w:val="both"/>
        <w:rPr>
          <w:rFonts w:ascii="Arial" w:hAnsi="Arial" w:cs="Arial"/>
          <w:b/>
          <w:sz w:val="18"/>
          <w:u w:val="single"/>
        </w:rPr>
      </w:pPr>
      <w:r>
        <w:rPr>
          <w:rFonts w:cs="Arial" w:ascii="Arial" w:hAnsi="Arial"/>
          <w:b/>
          <w:sz w:val="18"/>
          <w:u w:val="single"/>
        </w:rPr>
      </w:r>
    </w:p>
    <w:p>
      <w:pPr>
        <w:pStyle w:val="Normal"/>
        <w:keepLines/>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pPr>
      <w:r>
        <w:rPr>
          <w:rFonts w:cs="Arial" w:ascii="Arial" w:hAnsi="Arial"/>
          <w:sz w:val="18"/>
        </w:rPr>
        <w:tab/>
        <w:t>(1)</w:t>
        <w:tab/>
        <w:t xml:space="preserve">All payments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shall be wire transferred to:</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Arial" w:hAnsi="Arial" w:cs="Arial"/>
          <w:sz w:val="18"/>
        </w:rPr>
      </w:pPr>
      <w:r>
        <w:rPr>
          <w:rFonts w:cs="Arial" w:ascii="Arial" w:hAnsi="Arial"/>
          <w:sz w:val="18"/>
        </w:rPr>
        <w:tab/>
        <w:tab/>
        <w:tab/>
        <w:t>Nations Bank of Texas-Dallas</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Arial" w:hAnsi="Arial" w:cs="Arial"/>
          <w:sz w:val="18"/>
        </w:rPr>
      </w:pPr>
      <w:r>
        <w:rPr>
          <w:rFonts w:cs="Arial" w:ascii="Arial" w:hAnsi="Arial"/>
          <w:sz w:val="18"/>
        </w:rPr>
        <w:tab/>
        <w:tab/>
        <w:tab/>
        <w:t xml:space="preserve">for </w:t>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Arial" w:hAnsi="Arial" w:cs="Arial"/>
          <w:sz w:val="18"/>
        </w:rPr>
      </w:pPr>
      <w:r>
        <w:rPr>
          <w:rFonts w:cs="Arial" w:ascii="Arial" w:hAnsi="Arial"/>
          <w:sz w:val="18"/>
        </w:rPr>
        <w:tab/>
        <w:tab/>
        <w:tab/>
        <w:t>ABA Routing No. 111000012</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Arial" w:hAnsi="Arial" w:cs="Arial"/>
          <w:sz w:val="18"/>
        </w:rPr>
      </w:pPr>
      <w:r>
        <w:rPr>
          <w:rFonts w:cs="Arial" w:ascii="Arial" w:hAnsi="Arial"/>
          <w:sz w:val="18"/>
        </w:rPr>
        <w:tab/>
        <w:tab/>
        <w:tab/>
        <w:t>Account No. 3750469312</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pPr>
      <w:r>
        <w:rPr>
          <w:rFonts w:cs="Arial" w:ascii="Arial" w:hAnsi="Arial"/>
          <w:sz w:val="18"/>
        </w:rPr>
        <w:tab/>
        <w:t>(2)</w:t>
        <w:tab/>
        <w:t xml:space="preserve">All billings to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Entergy Services, Inc.</w:t>
      </w:r>
      <w:r>
        <w:rPr>
          <w:sz w:val="18"/>
          <w:rFonts w:cs="Arial" w:ascii="Arial" w:hAnsi="Arial"/>
        </w:rPr>
        <w:fldChar w:fldCharType="end"/>
      </w:r>
      <w:r>
        <w:rPr>
          <w:rFonts w:cs="Arial" w:ascii="Arial" w:hAnsi="Arial"/>
          <w:sz w:val="18"/>
        </w:rPr>
        <w:t xml:space="preserve"> shall be sent to:</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Entergy Services, Inc.</w:t>
      </w:r>
      <w:r>
        <w:rPr>
          <w:sz w:val="18"/>
          <w:rFonts w:cs="Arial" w:ascii="Arial" w:hAnsi="Arial"/>
        </w:rPr>
        <w:fldChar w:fldCharType="end"/>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________________________</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________________________</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Attn: ___________________</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pPr>
      <w:r>
        <w:rPr>
          <w:rFonts w:cs="Arial" w:ascii="Arial" w:hAnsi="Arial"/>
          <w:sz w:val="18"/>
        </w:rPr>
        <w:tab/>
        <w:t xml:space="preserve">(3) </w:t>
        <w:tab/>
        <w:t xml:space="preserve">All payments to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Entergy Services, Inc.</w:t>
      </w:r>
      <w:r>
        <w:rPr>
          <w:sz w:val="18"/>
          <w:rFonts w:cs="Arial" w:ascii="Arial" w:hAnsi="Arial"/>
        </w:rPr>
        <w:fldChar w:fldCharType="end"/>
      </w:r>
      <w:r>
        <w:rPr>
          <w:rFonts w:cs="Arial" w:ascii="Arial" w:hAnsi="Arial"/>
          <w:sz w:val="18"/>
        </w:rPr>
        <w:t xml:space="preserve"> shall be sent to:</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Entergy Services, Inc.</w:t>
      </w:r>
      <w:r>
        <w:rPr>
          <w:sz w:val="18"/>
          <w:rFonts w:cs="Arial" w:ascii="Arial" w:hAnsi="Arial"/>
        </w:rPr>
        <w:fldChar w:fldCharType="end"/>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_____________________</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_____________________</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_____________________</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pPr>
      <w:r>
        <w:rPr>
          <w:rFonts w:cs="Arial" w:ascii="Arial" w:hAnsi="Arial"/>
          <w:sz w:val="18"/>
        </w:rPr>
        <w:tab/>
        <w:t>(4)</w:t>
        <w:tab/>
        <w:t xml:space="preserve">All billings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shall be sent to:</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1400 Smith Street (77002)</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P. O. Box 4428</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Houston, Texas  77210-4428</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tab/>
        <w:tab/>
        <w:tab/>
        <w:t>Attn.: Power Client Services Manager</w:t>
      </w:r>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rPr>
          <w:rFonts w:ascii="Arial" w:hAnsi="Arial" w:cs="Arial"/>
          <w:sz w:val="18"/>
        </w:rPr>
      </w:pPr>
      <w:r>
        <w:rPr>
          <w:rFonts w:cs="Arial" w:ascii="Arial" w:hAnsi="Arial"/>
          <w:sz w:val="18"/>
        </w:rPr>
      </w:r>
    </w:p>
    <w:p>
      <w:pPr>
        <w:pStyle w:val="BodyText"/>
        <w:rPr/>
      </w:pPr>
      <w:r>
        <w:rPr>
          <w:rFonts w:cs="Arial" w:ascii="Arial" w:hAnsi="Arial"/>
          <w:sz w:val="18"/>
          <w:u w:val="single"/>
        </w:rPr>
        <w:t>Governing Law:</w:t>
      </w:r>
      <w:r>
        <w:rPr>
          <w:rFonts w:cs="Arial" w:ascii="Arial" w:hAnsi="Arial"/>
          <w:b w:val="false"/>
          <w:sz w:val="18"/>
        </w:rPr>
        <w:t xml:space="preserve"> THIS CONFIRMATION AGREEMENT SHALL BE GOVERNED BY AND CONSTRUED IN ACCORDANCE WITH THE LAWS OF THE STATE OF TEXAS WITHOUT GIVING EFFECT TO PRINCIPLES OF CONFLICTS OF LAWS.</w:t>
      </w:r>
      <w:r>
        <w:br w:type="page"/>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rFonts w:ascii="Arial" w:hAnsi="Arial" w:cs="Arial"/>
          <w:b w:val="false"/>
          <w:sz w:val="18"/>
        </w:rPr>
      </w:pPr>
      <w:r>
        <w:rPr>
          <w:rFonts w:cs="Arial" w:ascii="Arial" w:hAnsi="Arial"/>
          <w:b w:val="false"/>
          <w:sz w:val="18"/>
        </w:rPr>
      </w:r>
    </w:p>
    <w:p>
      <w:pPr>
        <w:pStyle w:val="Normal"/>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April 17,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Entergy Services, Inc.</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_________________________________</w:t>
        <w:tab/>
        <w:tab/>
        <w:t xml:space="preserve"> 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_________________________________</w:t>
        <w:tab/>
        <w:tab/>
        <w:t xml:space="preserve"> 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Rogers Herndon</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t>Title:        _________________________________</w:t>
        <w:tab/>
        <w:t xml:space="preserve"> 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clear" w:pos="720"/>
          <w:tab w:val="left" w:pos="360" w:leader="none"/>
          <w:tab w:val="left" w:pos="5040" w:leader="none"/>
          <w:tab w:val="left" w:pos="5760" w:leader="none"/>
          <w:tab w:val="left" w:pos="6480" w:leader="none"/>
        </w:tabs>
        <w:jc w:val="both"/>
        <w:rPr>
          <w:rFonts w:ascii="Arial" w:hAnsi="Arial" w:cs="Arial"/>
          <w:sz w:val="18"/>
        </w:rPr>
      </w:pPr>
      <w:r>
        <w:rPr>
          <w:rFonts w:cs="Arial" w:ascii="Arial" w:hAnsi="Arial"/>
          <w:sz w:val="18"/>
        </w:rPr>
      </w:r>
    </w:p>
    <w:p>
      <w:pPr>
        <w:pStyle w:val="Normal"/>
        <w:tabs>
          <w:tab w:val="left" w:pos="720" w:leader="none"/>
          <w:tab w:val="left" w:pos="1440" w:leader="none"/>
          <w:tab w:val="left" w:pos="2160" w:leader="none"/>
          <w:tab w:val="left" w:pos="5040" w:leader="none"/>
          <w:tab w:val="left" w:pos="5760" w:leader="none"/>
          <w:tab w:val="left" w:pos="6480" w:leader="none"/>
        </w:tabs>
        <w:rPr>
          <w:rFonts w:ascii="Courier New" w:hAnsi="Courier New" w:cs="Courier New"/>
          <w:b/>
          <w:sz w:val="18"/>
        </w:rPr>
      </w:pPr>
      <w:r>
        <w:rPr>
          <w:rFonts w:cs="Courier New" w:ascii="Courier New" w:hAnsi="Courier New"/>
          <w:b/>
          <w:sz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Courier New" w:hAnsi="Courier New" w:cs="Courier New"/>
          <w:b/>
        </w:rPr>
      </w:pPr>
      <w:r>
        <w:rPr>
          <w:rFonts w:cs="Courier New" w:ascii="Courier New" w:hAnsi="Courier New"/>
          <w:b/>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Courier New" w:hAnsi="Courier New" w:cs="Courier New"/>
          <w:b/>
        </w:rPr>
      </w:pPr>
      <w:r>
        <w:rPr>
          <w:rFonts w:cs="Courier New" w:ascii="Courier New" w:hAnsi="Courier New"/>
          <w:b/>
        </w:rPr>
      </w:r>
    </w:p>
    <w:sectPr>
      <w:headerReference w:type="default" r:id="rId3"/>
      <w:footerReference w:type="default" r:id="rId4"/>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 xml:space="preserve">                                                                                      </w:t>
    </w:r>
  </w:p>
  <w:p>
    <w:pPr>
      <w:pStyle w:val="Header"/>
      <w:tabs>
        <w:tab w:val="center" w:pos="4320" w:leader="none"/>
        <w:tab w:val="left" w:pos="7380" w:leader="none"/>
        <w:tab w:val="right" w:pos="8640" w:leader="none"/>
      </w:tabs>
      <w:rPr/>
    </w:pPr>
    <w:r>
      <w:rPr>
        <w:rFonts w:cs="Arial" w:ascii="Arial" w:hAnsi="Arial"/>
        <w:bCs/>
      </w:rPr>
      <w:tab/>
      <w:t xml:space="preserve">                                                                                   Deal No. </w:t>
    </w:r>
    <w:r>
      <w:rPr>
        <w:rFonts w:cs="Arial" w:ascii="Arial" w:hAnsi="Arial"/>
        <w:bCs/>
      </w:rPr>
      <w:fldChar w:fldCharType="begin"/>
    </w:r>
    <w:r>
      <w:rPr>
        <w:bCs/>
        <w:rFonts w:cs="Arial" w:ascii="Arial" w:hAnsi="Arial"/>
      </w:rPr>
      <w:instrText xml:space="preserve"> TITLE </w:instrText>
    </w:r>
    <w:r>
      <w:rPr>
        <w:bCs/>
        <w:rFonts w:cs="Arial" w:ascii="Arial" w:hAnsi="Arial"/>
      </w:rPr>
      <w:fldChar w:fldCharType="separate"/>
    </w:r>
    <w:r>
      <w:rPr>
        <w:bCs/>
        <w:rFonts w:cs="Arial" w:ascii="Arial" w:hAnsi="Arial"/>
      </w:rPr>
      <w:t>584226.01</w:t>
    </w:r>
    <w:r>
      <w:rPr>
        <w:bCs/>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4"/>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pPr>
    <w:rPr>
      <w:rFonts w:ascii="Courier New" w:hAnsi="Courier New" w:cs="Courier New"/>
      <w:b/>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2001-04-17T19:28:00Z</dcterms:created>
  <dc:creator> </dc:creator>
  <dc:description/>
  <dc:language>en-CA</dc:language>
  <cp:lastModifiedBy>Sharen Cason</cp:lastModifiedBy>
  <dcterms:modified xsi:type="dcterms:W3CDTF">2001-04-17T19:28:00Z</dcterms:modified>
  <cp:revision>2</cp:revision>
  <dc:subject/>
  <dc:title>584226.01</dc:title>
</cp:coreProperties>
</file>