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13,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13,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Sunday, December 31, 2006. </w:t>
            </w:r>
            <w:r>
              <w:rPr>
                <w:sz w:val="18"/>
                <w:rFonts w:cs="Arial" w:ascii="Arial" w:hAnsi="Arial"/>
              </w:rPr>
              <w:fldChar w:fldCharType="end"/>
            </w:r>
            <w:r>
              <w:rPr>
                <w:rFonts w:cs="Arial" w:ascii="Arial" w:hAnsi="Arial"/>
                <w:sz w:val="18"/>
              </w:rPr>
              <w:t xml:space="preserve">Hour Ending (HE) 0100 through HE 0600 and HE 2300 through HE 2400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(8 hours each day), Mondays through Saturdays only;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HE 0100 through HE 2400 (24 hours each day), Sundays and NERC Holidays only.  </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lang w:val="en-CA"/>
              </w:rPr>
              <w:t>Pacific Prevailing Time.</w:t>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$42.50/MWh.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385,400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jc w:val="both"/>
        <w:rPr>
          <w:rFonts w:ascii="Arial" w:hAnsi="Arial" w:cs="Arial"/>
          <w:sz w:val="18"/>
        </w:rPr>
      </w:pPr>
      <w:r>
        <w:rPr>
          <w:rFonts w:cs="Arial" w:ascii="Arial" w:hAnsi="Arial"/>
          <w:sz w:val="18"/>
        </w:rPr>
      </w:r>
    </w:p>
    <w:p>
      <w:pPr>
        <w:pStyle w:val="BodyText2"/>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jc w:val="both"/>
        <w:rPr>
          <w:rFonts w:ascii="Arial" w:hAnsi="Arial" w:cs="Arial"/>
          <w:b/>
          <w:sz w:val="18"/>
        </w:rPr>
      </w:pPr>
      <w:r>
        <w:rPr>
          <w:rFonts w:cs="Arial" w:ascii="Arial" w:hAnsi="Arial"/>
          <w:b/>
          <w:sz w:val="18"/>
        </w:rPr>
      </w:r>
    </w:p>
    <w:p>
      <w:pPr>
        <w:pStyle w:val="Normal"/>
        <w:ind w:end="-31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13,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rPr>
        <w:rFonts w:ascii="Arial" w:hAnsi="Arial" w:cs="Arial"/>
      </w:rPr>
    </w:pPr>
    <w:r>
      <w:rPr>
        <w:sz w:val="26"/>
      </w:rPr>
      <w:tab/>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479474.01</w:t>
    </w:r>
    <w:r>
      <w:rPr>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sz w:val="18"/>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Arial" w:hAnsi="Arial" w:cs="Arial"/>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2000-12-13T18:35:00Z</dcterms:created>
  <dc:creator> </dc:creator>
  <dc:description/>
  <dc:language>en-CA</dc:language>
  <cp:lastModifiedBy>scason</cp:lastModifiedBy>
  <dcterms:modified xsi:type="dcterms:W3CDTF">2000-12-13T18:35:00Z</dcterms:modified>
  <cp:revision>2</cp:revision>
  <dc:subject/>
  <dc:title>479474.01</dc:title>
</cp:coreProperties>
</file>