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7537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3745" cy="754380"/>
                          </a:xfrm>
                          <a:prstGeom prst="rect">
                            <a:avLst/>
                          </a:prstGeom>
                          <a:noFill/>
                        </pic:spPr>
                      </pic:pic>
                    </a:graphicData>
                  </a:graphic>
                </wp:inline>
              </w:drawing>
            </w:r>
          </w:p>
          <w:p>
            <w:pPr>
              <w:pStyle w:val="Normal"/>
              <w:rPr/>
            </w:pPr>
            <w:r>
              <w:rPr/>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sz w:val="16"/>
              </w:rPr>
            </w:pPr>
            <w:r>
              <w:rPr>
                <w:rFonts w:cs="Arial" w:ascii="Arial" w:hAnsi="Arial"/>
                <w:sz w:val="16"/>
              </w:rPr>
              <w:t>P.O. Box 4428</w:t>
            </w:r>
          </w:p>
          <w:p>
            <w:pPr>
              <w:pStyle w:val="Normal"/>
              <w:ind w:start="4032" w:end="0"/>
              <w:rPr>
                <w:rFonts w:ascii="Arial" w:hAnsi="Arial" w:cs="Arial"/>
                <w:sz w:val="16"/>
              </w:rPr>
            </w:pPr>
            <w:r>
              <w:rPr>
                <w:rFonts w:cs="Arial" w:ascii="Arial" w:hAnsi="Arial"/>
                <w:sz w:val="16"/>
              </w:rPr>
              <w:t>Houston, Texas 77210-4428</w:t>
            </w:r>
          </w:p>
          <w:p>
            <w:pPr>
              <w:pStyle w:val="Normal"/>
              <w:ind w:start="403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07, 2001</w:t>
      </w:r>
      <w:r>
        <w:rPr>
          <w:sz w:val="18"/>
          <w:rFonts w:cs="Arial" w:ascii="Arial" w:hAnsi="Arial"/>
        </w:rPr>
        <w:fldChar w:fldCharType="end"/>
      </w:r>
      <w:r>
        <w:rPr>
          <w:rFonts w:cs="Arial" w:ascii="Arial" w:hAnsi="Arial"/>
          <w:sz w:val="18"/>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Dave Folger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1221 W Idaho 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Boise, ID 83707-0070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(208) 388-5480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Tuesday, January 1, 2002 through Sunday, June 30, 2002. </w:t>
              <w:t xml:space="preserve">Hour Ending (HE) 0700 through HE 2200 (16 Hours each day), Monday through Saturday only, excluding NERC Holidays; </w:t>
              <w:t xml:space="preserve">Wednesday, January 1, 2003 through Friday, December 31, 2004.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$41.00/MWh.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614,400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eastAsia="Arial" w:cs="Arial" w:ascii="Arial" w:hAnsi="Arial"/>
          <w:sz w:val="18"/>
        </w:rPr>
        <w:t xml:space="preserve">                             </w:t>
      </w:r>
      <w:r>
        <w:rPr>
          <w:rFonts w:cs="Arial" w:ascii="Arial" w:hAnsi="Arial"/>
          <w:sz w:val="18"/>
        </w:rPr>
        <w:t>Scheduling to be completed in accordance with WSCC guidelines.</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color w:val="000000"/>
          <w:sz w:val="18"/>
        </w:rPr>
      </w:pPr>
      <w:r>
        <w:rPr>
          <w:rFonts w:cs="Arial" w:ascii="Arial" w:hAnsi="Arial"/>
          <w:color w:val="000000"/>
          <w:sz w:val="18"/>
        </w:rPr>
      </w:r>
    </w:p>
    <w:p>
      <w:pPr>
        <w:pStyle w:val="Normal"/>
        <w:ind w:hanging="1440" w:start="1440" w:end="0"/>
        <w:jc w:val="both"/>
        <w:rPr/>
      </w:pPr>
      <w:r>
        <w:rPr>
          <w:rFonts w:cs="Arial" w:ascii="Arial" w:hAnsi="Arial"/>
          <w:color w:val="000000"/>
          <w:sz w:val="18"/>
        </w:rPr>
        <w:t>“</w:t>
      </w:r>
      <w:r>
        <w:rPr>
          <w:rFonts w:cs="Arial" w:ascii="Arial" w:hAnsi="Arial"/>
          <w:color w:val="000000"/>
          <w:sz w:val="18"/>
        </w:rPr>
        <w:t>WSCC” means the Western Systems Coordinating Council.</w:t>
      </w:r>
      <w:r>
        <w:rPr>
          <w:rFonts w:cs="Arial" w:ascii="Arial" w:hAnsi="Arial"/>
          <w:sz w:val="18"/>
        </w:rPr>
        <w:t xml:space="preserve"> </w:t>
      </w:r>
    </w:p>
    <w:p>
      <w:pPr>
        <w:pStyle w:val="Normal"/>
        <w:ind w:hanging="1440" w:start="1440" w:end="0"/>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Idaho Power Company, dba IDACORP Energy</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sz w:val="18"/>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w:t>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TITLE </w:instrText>
    </w:r>
    <w:r>
      <w:rPr>
        <w:sz w:val="18"/>
        <w:rFonts w:cs="Arial" w:ascii="Arial" w:hAnsi="Arial"/>
      </w:rPr>
      <w:fldChar w:fldCharType="separate"/>
    </w:r>
    <w:r>
      <w:rPr>
        <w:sz w:val="18"/>
        <w:rFonts w:cs="Arial" w:ascii="Arial" w:hAnsi="Arial"/>
      </w:rPr>
      <w:t>635925.01</w:t>
    </w:r>
    <w:r>
      <w:rPr>
        <w:sz w:val="18"/>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2001-06-07T11:58:00Z</dcterms:created>
  <dc:creator> </dc:creator>
  <dc:description/>
  <dc:language>en-CA</dc:language>
  <cp:lastModifiedBy>asmith6</cp:lastModifiedBy>
  <dcterms:modified xsi:type="dcterms:W3CDTF">2001-06-07T11:58:00Z</dcterms:modified>
  <cp:revision>2</cp:revision>
  <dc:subject/>
  <dc:title>635925.01</dc:title>
</cp:coreProperties>
</file>