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5040" w:leader="none"/>
          <w:tab w:val="left" w:pos="5760" w:leader="none"/>
          <w:tab w:val="left" w:pos="6480" w:leader="none"/>
        </w:tabs>
        <w:jc w:val="center"/>
        <w:rPr/>
      </w:pPr>
      <w:r>
        <w:rPr/>
        <w:tab/>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821055" cy="8210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2105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rFonts w:eastAsia="Arial"/>
                <w:i/>
                <w:sz w:val="16"/>
              </w:rPr>
              <w:t xml:space="preserve">                                                                                                          </w:t>
            </w:r>
            <w:r>
              <w:rPr>
                <w:b w:val="false"/>
                <w:i/>
                <w:sz w:val="16"/>
              </w:rPr>
              <w:t>Houston, Texas 77210-4428</w:t>
            </w:r>
          </w:p>
          <w:p>
            <w:pPr>
              <w:pStyle w:val="Heading"/>
              <w:tabs>
                <w:tab w:val="clear" w:pos="720"/>
                <w:tab w:val="left" w:pos="3222" w:leader="none"/>
              </w:tabs>
              <w:rPr/>
            </w:pPr>
            <w:r>
              <w:rPr>
                <w:rFonts w:eastAsia="Arial"/>
                <w:sz w:val="16"/>
              </w:rPr>
              <w:t xml:space="preserve">                                                                                                          </w:t>
            </w:r>
            <w:r>
              <w:rPr>
                <w:b w:val="false"/>
                <w:sz w:val="16"/>
              </w:rPr>
              <w:t>(FAX) (713) 646-2491</w:t>
            </w:r>
          </w:p>
          <w:p>
            <w:pPr>
              <w:pStyle w:val="BodyTextIndent"/>
              <w:tabs>
                <w:tab w:val="left" w:pos="720" w:leader="none"/>
                <w:tab w:val="left" w:pos="1440" w:leader="none"/>
                <w:tab w:val="left" w:pos="2160" w:leader="none"/>
                <w:tab w:val="left" w:pos="3222"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fldChar w:fldCharType="begin"/>
      </w:r>
      <w:r>
        <w:rPr>
          <w:sz w:val="22"/>
        </w:rPr>
        <w:instrText xml:space="preserve"> MERGEFIELD DateToday </w:instrText>
      </w:r>
      <w:r>
        <w:rPr>
          <w:sz w:val="22"/>
        </w:rPr>
        <w:fldChar w:fldCharType="separate"/>
      </w:r>
      <w:r>
        <w:rPr>
          <w:sz w:val="22"/>
        </w:rPr>
        <w:t>April 06, 2001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t>Rex Jenkins</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CounterpartyName </w:instrText>
      </w:r>
      <w:r>
        <w:rPr>
          <w:sz w:val="22"/>
        </w:rPr>
        <w:fldChar w:fldCharType="separate"/>
      </w:r>
      <w:r>
        <w:rPr>
          <w:sz w:val="22"/>
        </w:rPr>
        <w:t>Ameren Energy, Inc., as agent</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1901 Chouteau Ave</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St Louis, MO 63103-3003</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(314) 613-9015</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w:t>
      </w:r>
      <w:r>
        <w:rPr>
          <w:sz w:val="22"/>
        </w:rPr>
        <w:fldChar w:fldCharType="begin"/>
      </w:r>
      <w:r>
        <w:rPr>
          <w:sz w:val="22"/>
        </w:rPr>
        <w:instrText xml:space="preserve"> MERGEFIELD DealDate </w:instrText>
      </w:r>
      <w:r>
        <w:rPr>
          <w:sz w:val="22"/>
        </w:rPr>
        <w:fldChar w:fldCharType="separate"/>
      </w:r>
      <w:r>
        <w:rPr>
          <w:sz w:val="22"/>
        </w:rPr>
        <w:t>April 6, 2001</w:t>
      </w:r>
      <w:r>
        <w:rPr>
          <w:sz w:val="22"/>
        </w:rPr>
        <w:fldChar w:fldCharType="end"/>
      </w:r>
      <w:r>
        <w:rPr>
          <w:sz w:val="22"/>
        </w:rPr>
        <w:t xml:space="preserve"> ("Trade Date") between </w:t>
      </w:r>
      <w:r>
        <w:rPr>
          <w:sz w:val="22"/>
        </w:rPr>
        <w:fldChar w:fldCharType="begin"/>
      </w:r>
      <w:r>
        <w:rPr>
          <w:sz w:val="22"/>
        </w:rPr>
        <w:instrText xml:space="preserve"> MERGEFIELD CounterpartyName </w:instrText>
      </w:r>
      <w:r>
        <w:rPr>
          <w:sz w:val="22"/>
        </w:rPr>
        <w:fldChar w:fldCharType="separate"/>
      </w:r>
      <w:r>
        <w:rPr>
          <w:sz w:val="22"/>
        </w:rPr>
        <w:t>Ameren Energy, Inc., as agent</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 Power Marketing, Inc. (“EPMI”)</w:t>
      </w:r>
      <w:r>
        <w:rPr>
          <w:sz w:val="22"/>
        </w:rPr>
        <w:fldChar w:fldCharType="end"/>
      </w:r>
      <w:r>
        <w:rPr/>
        <w:t xml:space="preserve"> regarding the sale of firm Energy under the terms and conditions that follow:</w:t>
      </w:r>
    </w:p>
    <w:tbl>
      <w:tblPr>
        <w:tblW w:w="10159" w:type="dxa"/>
        <w:jc w:val="start"/>
        <w:tblInd w:w="0" w:type="dxa"/>
        <w:tblLayout w:type="fixed"/>
        <w:tblCellMar>
          <w:top w:w="0" w:type="dxa"/>
          <w:start w:w="108" w:type="dxa"/>
          <w:bottom w:w="0" w:type="dxa"/>
          <w:end w:w="108" w:type="dxa"/>
        </w:tblCellMar>
      </w:tblPr>
      <w:tblGrid>
        <w:gridCol w:w="10159"/>
      </w:tblGrid>
      <w:tr>
        <w:trPr/>
        <w:tc>
          <w:tcPr>
            <w:tcW w:w="10159" w:type="dxa"/>
            <w:tcBorders/>
          </w:tcPr>
          <w:p>
            <w:pPr>
              <w:pStyle w:val="BodyText"/>
              <w:spacing w:before="0" w:after="0"/>
              <w:rPr>
                <w:sz w:val="22"/>
              </w:rPr>
            </w:pPr>
            <w:r>
              <w:rPr>
                <w:b/>
                <w:smallCaps/>
                <w:sz w:val="22"/>
              </w:rPr>
              <w:t>General Terms of Transaction:</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Seller:</w:t>
            </w:r>
          </w:p>
        </w:tc>
        <w:tc>
          <w:tcPr>
            <w:tcW w:w="7080" w:type="dxa"/>
            <w:tcBorders/>
          </w:tcPr>
          <w:p>
            <w:pPr>
              <w:pStyle w:val="BodyText"/>
              <w:spacing w:before="0" w:after="0"/>
              <w:rPr>
                <w:sz w:val="22"/>
              </w:rPr>
            </w:pPr>
            <w:r>
              <w:rPr>
                <w:sz w:val="22"/>
              </w:rPr>
              <w:fldChar w:fldCharType="begin"/>
            </w:r>
            <w:r>
              <w:rPr>
                <w:sz w:val="22"/>
              </w:rPr>
              <w:instrText xml:space="preserve"> MERGEFIELD SellerName </w:instrText>
            </w:r>
            <w:r>
              <w:rPr>
                <w:sz w:val="22"/>
              </w:rPr>
              <w:fldChar w:fldCharType="separate"/>
            </w:r>
            <w:r>
              <w:rPr>
                <w:sz w:val="22"/>
              </w:rPr>
              <w:t>Enron Power Marketing, Inc.</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Buyer:</w:t>
            </w:r>
          </w:p>
        </w:tc>
        <w:tc>
          <w:tcPr>
            <w:tcW w:w="7080" w:type="dxa"/>
            <w:tcBorders/>
          </w:tcPr>
          <w:p>
            <w:pPr>
              <w:pStyle w:val="BodyText"/>
              <w:spacing w:before="0" w:after="0"/>
              <w:rPr>
                <w:sz w:val="22"/>
              </w:rPr>
            </w:pPr>
            <w:r>
              <w:rPr>
                <w:sz w:val="22"/>
              </w:rPr>
              <w:fldChar w:fldCharType="begin"/>
            </w:r>
            <w:r>
              <w:rPr>
                <w:sz w:val="22"/>
              </w:rPr>
              <w:instrText xml:space="preserve"> MERGEFIELD BuyerName </w:instrText>
            </w:r>
            <w:r>
              <w:rPr>
                <w:sz w:val="22"/>
              </w:rPr>
              <w:fldChar w:fldCharType="separate"/>
            </w:r>
            <w:r>
              <w:rPr>
                <w:sz w:val="22"/>
              </w:rPr>
              <w:t>Ameren Energy, Inc., as agent</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Commodity:</w:t>
            </w:r>
          </w:p>
        </w:tc>
        <w:tc>
          <w:tcPr>
            <w:tcW w:w="7080" w:type="dxa"/>
            <w:tcBorders/>
          </w:tcPr>
          <w:p>
            <w:pPr>
              <w:pStyle w:val="BodyText"/>
              <w:spacing w:before="0" w:after="0"/>
              <w:rPr>
                <w:sz w:val="22"/>
              </w:rPr>
            </w:pPr>
            <w:r>
              <w:rPr>
                <w:sz w:val="22"/>
              </w:rPr>
              <w:t>Firm Energy</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Term:</w:t>
            </w:r>
          </w:p>
        </w:tc>
        <w:tc>
          <w:tcPr>
            <w:tcW w:w="7080" w:type="dxa"/>
            <w:tcBorders/>
          </w:tcPr>
          <w:p>
            <w:pPr>
              <w:pStyle w:val="BodyText"/>
              <w:spacing w:before="0" w:after="0"/>
              <w:rPr>
                <w:sz w:val="22"/>
              </w:rPr>
            </w:pPr>
            <w:r>
              <w:rPr>
                <w:sz w:val="22"/>
              </w:rPr>
              <w:fldChar w:fldCharType="begin"/>
            </w:r>
            <w:r>
              <w:rPr>
                <w:sz w:val="22"/>
              </w:rPr>
              <w:instrText xml:space="preserve"> MERGEFIELD Term </w:instrText>
            </w:r>
            <w:r>
              <w:rPr>
                <w:sz w:val="22"/>
              </w:rPr>
              <w:fldChar w:fldCharType="separate"/>
            </w:r>
            <w:r>
              <w:rPr>
                <w:sz w:val="22"/>
              </w:rPr>
              <w:t xml:space="preserve">Monday, April 9, 2001. </w:t>
              <w:t xml:space="preserve">Hour Ending (HE) 0700 through HE 2200 (16 Hours); </w:t>
              <w:t xml:space="preserve">Central Prevailing Time. </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Price:</w:t>
            </w:r>
          </w:p>
        </w:tc>
        <w:tc>
          <w:tcPr>
            <w:tcW w:w="7080" w:type="dxa"/>
            <w:tcBorders/>
          </w:tcPr>
          <w:p>
            <w:pPr>
              <w:pStyle w:val="BodyText"/>
              <w:spacing w:before="0" w:after="0"/>
              <w:rPr>
                <w:sz w:val="22"/>
              </w:rPr>
            </w:pPr>
            <w:r>
              <w:rPr>
                <w:sz w:val="22"/>
              </w:rPr>
              <w:fldChar w:fldCharType="begin"/>
            </w:r>
            <w:r>
              <w:rPr>
                <w:sz w:val="22"/>
              </w:rPr>
              <w:instrText xml:space="preserve"> MERGEFIELD Price </w:instrText>
            </w:r>
            <w:r>
              <w:rPr>
                <w:sz w:val="22"/>
              </w:rPr>
              <w:fldChar w:fldCharType="separate"/>
            </w:r>
            <w:r>
              <w:rPr>
                <w:sz w:val="22"/>
              </w:rPr>
              <w:t>US Dollars $51.50/MWh.</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Contract Quantity:</w:t>
            </w:r>
          </w:p>
        </w:tc>
        <w:tc>
          <w:tcPr>
            <w:tcW w:w="7080" w:type="dxa"/>
            <w:tcBorders/>
          </w:tcPr>
          <w:p>
            <w:pPr>
              <w:pStyle w:val="BodyText"/>
              <w:spacing w:before="0" w:after="0"/>
              <w:rPr/>
            </w:pPr>
            <w:r>
              <w:rPr>
                <w:sz w:val="22"/>
              </w:rPr>
              <w:fldChar w:fldCharType="begin"/>
            </w:r>
            <w:r>
              <w:rPr>
                <w:sz w:val="22"/>
              </w:rPr>
              <w:instrText xml:space="preserve"> MERGEFIELD SO2Quantity </w:instrText>
            </w:r>
            <w:r>
              <w:rPr>
                <w:sz w:val="22"/>
              </w:rPr>
              <w:fldChar w:fldCharType="separate"/>
            </w:r>
            <w:r>
              <w:rPr>
                <w:sz w:val="22"/>
              </w:rPr>
              <w:t>50</w:t>
            </w:r>
            <w:r>
              <w:rPr>
                <w:sz w:val="22"/>
              </w:rPr>
              <w:fldChar w:fldCharType="end"/>
            </w:r>
            <w:r>
              <w:rPr>
                <w:sz w:val="22"/>
              </w:rPr>
              <w:t xml:space="preserve"> </w:t>
            </w:r>
            <w:r>
              <w:rPr>
                <w:sz w:val="22"/>
              </w:rPr>
              <w:t xml:space="preserve">Mws of firm Energy per hour, </w:t>
            </w:r>
            <w:r>
              <w:rPr>
                <w:sz w:val="22"/>
              </w:rPr>
              <w:fldChar w:fldCharType="begin"/>
            </w:r>
            <w:r>
              <w:rPr>
                <w:sz w:val="22"/>
              </w:rPr>
              <w:instrText xml:space="preserve"> MERGEFIELD TotalQuantity </w:instrText>
            </w:r>
            <w:r>
              <w:rPr>
                <w:sz w:val="22"/>
              </w:rPr>
              <w:fldChar w:fldCharType="separate"/>
            </w:r>
            <w:r>
              <w:rPr>
                <w:sz w:val="22"/>
              </w:rPr>
              <w:t xml:space="preserve">         800 MWh</w:t>
            </w:r>
            <w:r>
              <w:rPr>
                <w:sz w:val="22"/>
              </w:rPr>
              <w:fldChar w:fldCharType="end"/>
            </w:r>
            <w:r>
              <w:rPr>
                <w:sz w:val="22"/>
              </w:rPr>
              <w:t xml:space="preserve"> Total</w:t>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BodyText"/>
              <w:spacing w:before="0" w:after="0"/>
              <w:rPr>
                <w:sz w:val="22"/>
              </w:rPr>
            </w:pPr>
            <w:r>
              <w:rPr>
                <w:b/>
                <w:sz w:val="22"/>
              </w:rPr>
              <w:t>Delivery Point(s):</w:t>
            </w:r>
          </w:p>
        </w:tc>
        <w:tc>
          <w:tcPr>
            <w:tcW w:w="7080" w:type="dxa"/>
            <w:tcBorders/>
          </w:tcPr>
          <w:p>
            <w:pPr>
              <w:pStyle w:val="BodyText"/>
              <w:spacing w:before="0" w:after="0"/>
              <w:rPr>
                <w:sz w:val="22"/>
              </w:rPr>
            </w:pPr>
            <w:r>
              <w:rPr>
                <w:sz w:val="22"/>
              </w:rPr>
              <w:fldChar w:fldCharType="begin"/>
            </w:r>
            <w:r>
              <w:rPr>
                <w:sz w:val="22"/>
              </w:rPr>
              <w:instrText xml:space="preserve"> MERGEFIELD DeliveryPoint </w:instrText>
            </w:r>
            <w:r>
              <w:rPr>
                <w:sz w:val="22"/>
              </w:rPr>
              <w:fldChar w:fldCharType="separate"/>
            </w:r>
            <w:r>
              <w:rPr>
                <w:sz w:val="22"/>
              </w:rPr>
              <w:t>Into CINERGY System</w:t>
            </w:r>
            <w:r>
              <w:rPr>
                <w:sz w:val="22"/>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rHeight w:val="71" w:hRule="atLeast"/>
        </w:trPr>
        <w:tc>
          <w:tcPr>
            <w:tcW w:w="3078" w:type="dxa"/>
            <w:tcBorders/>
          </w:tcPr>
          <w:p>
            <w:pPr>
              <w:pStyle w:val="BodyText"/>
              <w:spacing w:before="0" w:after="0"/>
              <w:rPr>
                <w:sz w:val="22"/>
              </w:rPr>
            </w:pPr>
            <w:r>
              <w:rPr>
                <w:b/>
                <w:sz w:val="22"/>
              </w:rPr>
              <w:t>Scheduling:</w:t>
            </w:r>
          </w:p>
        </w:tc>
        <w:tc>
          <w:tcPr>
            <w:tcW w:w="7080" w:type="dxa"/>
            <w:tcBorders/>
          </w:tcPr>
          <w:p>
            <w:pPr>
              <w:pStyle w:val="Normal"/>
              <w:jc w:val="both"/>
              <w:rPr>
                <w:sz w:val="22"/>
              </w:rPr>
            </w:pPr>
            <w:r>
              <w:rPr>
                <w:sz w:val="22"/>
              </w:rPr>
              <w:t xml:space="preserve">EPMI Real Time Operations: </w:t>
            </w:r>
            <w:r>
              <w:rPr>
                <w:sz w:val="22"/>
              </w:rPr>
              <w:fldChar w:fldCharType="begin"/>
            </w:r>
            <w:r>
              <w:rPr>
                <w:sz w:val="22"/>
              </w:rPr>
              <w:instrText xml:space="preserve"> MERGEFIELD EnronTelephone </w:instrText>
            </w:r>
            <w:r>
              <w:rPr>
                <w:sz w:val="22"/>
              </w:rPr>
              <w:fldChar w:fldCharType="separate"/>
            </w:r>
            <w:r>
              <w:rPr>
                <w:sz w:val="22"/>
              </w:rPr>
              <w:t>1 - (800) 349-5527</w:t>
            </w:r>
            <w:r>
              <w:rPr>
                <w:sz w:val="22"/>
              </w:rPr>
              <w:fldChar w:fldCharType="end"/>
            </w:r>
          </w:p>
          <w:p>
            <w:pPr>
              <w:pStyle w:val="Normal"/>
              <w:jc w:val="both"/>
              <w:rPr>
                <w:sz w:val="22"/>
              </w:rPr>
            </w:pPr>
            <w:r>
              <w:rPr>
                <w:sz w:val="22"/>
              </w:rPr>
            </w:r>
          </w:p>
          <w:p>
            <w:pPr>
              <w:pStyle w:val="Justified"/>
              <w:spacing w:before="0" w:after="120"/>
              <w:jc w:val="both"/>
              <w:rPr/>
            </w:pPr>
            <w:r>
              <w:rPr/>
              <w:fldChar w:fldCharType="begin"/>
            </w:r>
            <w:r>
              <w:rPr/>
              <w:instrText xml:space="preserve"> MERGEFIELD ScheduleLanguage </w:instrText>
            </w:r>
            <w:r>
              <w:rPr/>
              <w:fldChar w:fldCharType="separate"/>
            </w:r>
            <w:r>
              <w:rPr/>
              <w:t>Daily pre-schedule by 11:00 a.m. CPT on the business day prior to delivery.  Delivery Point is any point Into CINERGY System at  seller’s daily election.</w:t>
            </w:r>
            <w:r>
              <w:rPr/>
              <w:fldChar w:fldCharType="end"/>
            </w:r>
          </w:p>
        </w:tc>
      </w:tr>
    </w:tbl>
    <w:p>
      <w:pPr>
        <w:pStyle w:val="BodyText"/>
        <w:spacing w:before="0" w:after="0"/>
        <w:rPr>
          <w:sz w:val="22"/>
        </w:rPr>
      </w:pPr>
      <w:r>
        <w:rPr>
          <w:sz w:val="22"/>
        </w:rPr>
      </w:r>
    </w:p>
    <w:tbl>
      <w:tblPr>
        <w:tblW w:w="10158" w:type="dxa"/>
        <w:jc w:val="start"/>
        <w:tblInd w:w="0" w:type="dxa"/>
        <w:tblLayout w:type="fixed"/>
        <w:tblCellMar>
          <w:top w:w="0" w:type="dxa"/>
          <w:start w:w="108" w:type="dxa"/>
          <w:bottom w:w="0" w:type="dxa"/>
          <w:end w:w="108" w:type="dxa"/>
        </w:tblCellMar>
      </w:tblPr>
      <w:tblGrid>
        <w:gridCol w:w="3078"/>
        <w:gridCol w:w="7080"/>
      </w:tblGrid>
      <w:tr>
        <w:trPr/>
        <w:tc>
          <w:tcPr>
            <w:tcW w:w="3078" w:type="dxa"/>
            <w:tcBorders/>
          </w:tcPr>
          <w:p>
            <w:pPr>
              <w:pStyle w:val="Normal"/>
              <w:keepNext w:val="true"/>
              <w:keepLines/>
              <w:jc w:val="both"/>
              <w:rPr>
                <w:b/>
                <w:smallCaps/>
                <w:sz w:val="22"/>
              </w:rPr>
            </w:pPr>
            <w:r>
              <w:rPr>
                <w:b/>
                <w:smallCaps/>
                <w:sz w:val="22"/>
              </w:rPr>
              <w:t>General Terms and</w:t>
            </w:r>
          </w:p>
          <w:p>
            <w:pPr>
              <w:pStyle w:val="Normal"/>
              <w:keepNext w:val="true"/>
              <w:keepLines/>
              <w:jc w:val="both"/>
              <w:rPr>
                <w:b/>
                <w:smallCaps/>
                <w:sz w:val="22"/>
              </w:rPr>
            </w:pPr>
            <w:r>
              <w:rPr>
                <w:b/>
                <w:smallCaps/>
                <w:sz w:val="22"/>
              </w:rPr>
              <w:t>Conditions of</w:t>
            </w:r>
          </w:p>
          <w:p>
            <w:pPr>
              <w:pStyle w:val="BodyText"/>
              <w:spacing w:before="0" w:after="0"/>
              <w:rPr>
                <w:sz w:val="22"/>
              </w:rPr>
            </w:pPr>
            <w:r>
              <w:rPr>
                <w:b/>
                <w:smallCaps/>
                <w:sz w:val="22"/>
              </w:rPr>
              <w:t>Transaction:</w:t>
            </w:r>
          </w:p>
        </w:tc>
        <w:tc>
          <w:tcPr>
            <w:tcW w:w="7080" w:type="dxa"/>
            <w:tcBorders/>
          </w:tcPr>
          <w:p>
            <w:pPr>
              <w:pStyle w:val="BodyText"/>
              <w:spacing w:before="0" w:after="0"/>
              <w:rPr>
                <w:sz w:val="22"/>
              </w:rPr>
            </w:pPr>
            <w:r>
              <w:rPr>
                <w:sz w:val="22"/>
              </w:rPr>
              <w:t>The general terms and conditions contained in Annex A attached to this Confirmation were accepted by you when you entered into the Transaction and are a part hereof and are incorporated herein by reference.</w:t>
            </w:r>
          </w:p>
        </w:tc>
      </w:tr>
    </w:tbl>
    <w:p>
      <w:pPr>
        <w:pStyle w:val="BodyTextIndent"/>
        <w:keepNext w:val="true"/>
        <w:tabs>
          <w:tab w:val="clear" w:pos="720"/>
          <w:tab w:val="clear" w:pos="1440"/>
          <w:tab w:val="clear" w:pos="216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ind w:hanging="0" w:end="0"/>
        <w:rPr/>
      </w:pPr>
      <w:r>
        <w:rPr>
          <w:sz w:val="22"/>
        </w:rPr>
        <w:t xml:space="preserve">Please confirm that the Confirmation Letter correctly sets forth the terms of the Transaction that we have entered into by returning an executed copy of this letter by facsimile to </w:t>
      </w:r>
      <w:r>
        <w:rPr>
          <w:sz w:val="22"/>
        </w:rPr>
        <w:fldChar w:fldCharType="begin"/>
      </w:r>
      <w:r>
        <w:rPr>
          <w:sz w:val="22"/>
        </w:rPr>
        <w:instrText xml:space="preserve"> MERGEFIELD EnronEntityCode </w:instrText>
      </w:r>
      <w:r>
        <w:rPr>
          <w:sz w:val="22"/>
        </w:rPr>
        <w:fldChar w:fldCharType="separate"/>
      </w:r>
      <w:r>
        <w:rPr>
          <w:sz w:val="22"/>
        </w:rPr>
        <w:t>EPMI</w:t>
      </w:r>
      <w:r>
        <w:rPr>
          <w:sz w:val="22"/>
        </w:rPr>
        <w:fldChar w:fldCharType="end"/>
      </w:r>
      <w:r>
        <w:rPr>
          <w:sz w:val="22"/>
        </w:rPr>
        <w:t xml:space="preserve"> at </w:t>
      </w:r>
      <w:r>
        <w:rPr>
          <w:sz w:val="22"/>
        </w:rPr>
        <w:fldChar w:fldCharType="begin"/>
      </w:r>
      <w:r>
        <w:rPr>
          <w:sz w:val="22"/>
        </w:rPr>
        <w:instrText xml:space="preserve"> MERGEFIELD EnronFax </w:instrText>
      </w:r>
      <w:r>
        <w:rPr>
          <w:sz w:val="22"/>
        </w:rPr>
        <w:fldChar w:fldCharType="separate"/>
      </w:r>
      <w:r>
        <w:rPr>
          <w:sz w:val="22"/>
        </w:rPr>
        <w:t>(713) 646-2491</w:t>
      </w:r>
      <w:r>
        <w:rPr>
          <w:sz w:val="22"/>
        </w:rPr>
        <w:fldChar w:fldCharType="end"/>
      </w:r>
      <w:r>
        <w:rPr/>
        <w:t xml:space="preserve"> within two Business Days after your receipt of this Confirmation.  If you fail to so reply within such time period, the terms hereof will constitute binding and conclusive evidence of the Transaction.  Your response should reflect the appropriate Party in your organization who has the authority to execute this Confirmation Letter. If you have any questions please call (713) 853-1886.  We look forward to receiving your prompt reply.</w:t>
      </w:r>
    </w:p>
    <w:tbl>
      <w:tblPr>
        <w:tblW w:w="10458" w:type="dxa"/>
        <w:jc w:val="start"/>
        <w:tblInd w:w="0" w:type="dxa"/>
        <w:tblLayout w:type="fixed"/>
        <w:tblCellMar>
          <w:top w:w="0" w:type="dxa"/>
          <w:start w:w="108" w:type="dxa"/>
          <w:bottom w:w="0" w:type="dxa"/>
          <w:end w:w="108" w:type="dxa"/>
        </w:tblCellMar>
      </w:tblPr>
      <w:tblGrid>
        <w:gridCol w:w="5058"/>
        <w:gridCol w:w="5400"/>
      </w:tblGrid>
      <w:tr>
        <w:trPr/>
        <w:tc>
          <w:tcPr>
            <w:tcW w:w="5058"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CounterpartyName </w:instrText>
            </w:r>
            <w:r>
              <w:rPr>
                <w:smallCaps/>
                <w:sz w:val="22"/>
                <w:b/>
              </w:rPr>
              <w:fldChar w:fldCharType="separate"/>
            </w:r>
            <w:r>
              <w:rPr>
                <w:smallCaps/>
                <w:sz w:val="22"/>
                <w:b/>
              </w:rPr>
              <w:t>Ameren Energy, Inc., as agent</w:t>
            </w:r>
            <w:r>
              <w:rPr>
                <w:smallCaps/>
                <w:sz w:val="22"/>
                <w:b/>
              </w:rPr>
              <w:fldChar w:fldCharType="end"/>
            </w:r>
          </w:p>
        </w:tc>
        <w:tc>
          <w:tcPr>
            <w:tcW w:w="5400" w:type="dxa"/>
            <w:tcBorders/>
          </w:tcPr>
          <w:p>
            <w:pPr>
              <w:pStyle w:val="Normal"/>
              <w:keepNext w:val="true"/>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jc w:val="both"/>
              <w:rPr>
                <w:b/>
                <w:smallCaps/>
                <w:sz w:val="22"/>
              </w:rPr>
            </w:pPr>
            <w:r>
              <w:rPr>
                <w:b/>
                <w:smallCaps/>
                <w:sz w:val="22"/>
              </w:rPr>
              <w:fldChar w:fldCharType="begin"/>
            </w:r>
            <w:r>
              <w:rPr>
                <w:smallCaps/>
                <w:sz w:val="22"/>
                <w:b/>
              </w:rPr>
              <w:instrText xml:space="preserve"> MERGEFIELD EnronEntityName </w:instrText>
            </w:r>
            <w:r>
              <w:rPr>
                <w:smallCaps/>
                <w:sz w:val="22"/>
                <w:b/>
              </w:rPr>
              <w:fldChar w:fldCharType="separate"/>
            </w:r>
            <w:r>
              <w:rPr>
                <w:smallCaps/>
                <w:sz w:val="22"/>
                <w:b/>
              </w:rPr>
              <w:t>Enron Power Marketing, Inc.</w:t>
            </w:r>
            <w:r>
              <w:rPr>
                <w:smallCaps/>
                <w:sz w:val="22"/>
                <w:b/>
              </w:rPr>
              <w:fldChar w:fldCharType="end"/>
            </w:r>
          </w:p>
        </w:tc>
      </w:tr>
      <w:tr>
        <w:trPr/>
        <w:tc>
          <w:tcPr>
            <w:tcW w:w="5058" w:type="dxa"/>
            <w:tcBorders/>
          </w:tcPr>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napToGrid w:val="false"/>
              <w:rPr>
                <w:b/>
                <w:smallCaps/>
                <w:sz w:val="22"/>
              </w:rPr>
            </w:pPr>
            <w:r>
              <w:rPr>
                <w:b/>
                <w:smallCaps/>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By:  _______________________________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Name:  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Title:  ______________________________</w:t>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sz w:val="22"/>
              </w:rPr>
            </w:pPr>
            <w:r>
              <w:rPr>
                <w:sz w:val="22"/>
              </w:rPr>
              <w:t>Date:  ______________________________</w:t>
            </w:r>
          </w:p>
          <w:p>
            <w:pPr>
              <w:pStyle w:val="Justified"/>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999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jc w:val="start"/>
              <w:rPr>
                <w:sz w:val="22"/>
              </w:rPr>
            </w:pPr>
            <w:r>
              <w:rPr>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p>
            <w:pPr>
              <w:pStyle w:val="Normal"/>
              <w:keepNext w:val="true"/>
              <w:tabs>
                <w:tab w:val="clear" w:pos="720"/>
                <w:tab w:val="left" w:pos="459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b/>
                <w:sz w:val="22"/>
              </w:rPr>
            </w:pPr>
            <w:r>
              <w:rPr>
                <w:b/>
                <w:sz w:val="22"/>
              </w:rPr>
            </w:r>
          </w:p>
        </w:tc>
        <w:tc>
          <w:tcPr>
            <w:tcW w:w="5400" w:type="dxa"/>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600" w:after="0"/>
              <w:jc w:val="both"/>
              <w:rPr>
                <w:sz w:val="22"/>
              </w:rPr>
            </w:pPr>
            <w:r>
              <w:rPr>
                <w:sz w:val="22"/>
              </w:rPr>
              <w:t xml:space="preserve">By:  </w:t>
            </w:r>
            <w:r>
              <w:rPr>
                <w:sz w:val="22"/>
                <w:u w:val="single"/>
              </w:rPr>
              <w:fldChar w:fldCharType="begin"/>
            </w:r>
            <w:r>
              <w:rPr>
                <w:sz w:val="22"/>
                <w:u w:val="single"/>
              </w:rPr>
              <w:instrText xml:space="preserve"> MERGEFIELD SignatureGoesHere </w:instrText>
            </w:r>
            <w:r>
              <w:rPr>
                <w:sz w:val="22"/>
                <w:u w:val="single"/>
              </w:rPr>
              <w:fldChar w:fldCharType="separate"/>
            </w:r>
            <w:r>
              <w:rPr>
                <w:sz w:val="22"/>
                <w:u w:val="single"/>
              </w:rPr>
              <w:br/>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Name:  </w:t>
            </w:r>
            <w:r>
              <w:rPr>
                <w:sz w:val="22"/>
                <w:u w:val="single"/>
              </w:rPr>
              <w:fldChar w:fldCharType="begin"/>
            </w:r>
            <w:r>
              <w:rPr>
                <w:sz w:val="22"/>
                <w:u w:val="single"/>
              </w:rPr>
              <w:instrText xml:space="preserve"> MERGEFIELD Signature </w:instrText>
            </w:r>
            <w:r>
              <w:rPr>
                <w:sz w:val="22"/>
                <w:u w:val="single"/>
              </w:rPr>
              <w:fldChar w:fldCharType="separate"/>
            </w:r>
            <w:r>
              <w:rPr>
                <w:sz w:val="22"/>
                <w:u w:val="single"/>
              </w:rPr>
              <w:t>Kevin Presto</w:t>
            </w:r>
            <w:r>
              <w:rPr>
                <w:sz w:val="22"/>
                <w:u w:val="single"/>
              </w:rPr>
              <w:fldChar w:fldCharType="end"/>
            </w:r>
            <w:r>
              <w:rPr>
                <w:sz w:val="22"/>
                <w:u w:val="single"/>
              </w:rPr>
              <w:tab/>
            </w:r>
          </w:p>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Title:   </w:t>
            </w:r>
            <w:r>
              <w:rPr>
                <w:sz w:val="22"/>
                <w:u w:val="single"/>
              </w:rPr>
              <w:fldChar w:fldCharType="begin"/>
            </w:r>
            <w:r>
              <w:rPr>
                <w:sz w:val="22"/>
                <w:u w:val="single"/>
              </w:rPr>
              <w:instrText xml:space="preserve"> MERGEFIELD SignatureTitle </w:instrText>
            </w:r>
            <w:r>
              <w:rPr>
                <w:sz w:val="22"/>
                <w:u w:val="single"/>
              </w:rPr>
              <w:fldChar w:fldCharType="separate"/>
            </w:r>
            <w:r>
              <w:rPr>
                <w:sz w:val="22"/>
                <w:u w:val="single"/>
              </w:rPr>
              <w:t>Vice President</w:t>
            </w:r>
            <w:r>
              <w:rPr>
                <w:sz w:val="22"/>
                <w:u w:val="single"/>
              </w:rPr>
              <w:fldChar w:fldCharType="end"/>
            </w:r>
            <w:r>
              <w:rPr>
                <w:sz w:val="22"/>
                <w:u w:val="single"/>
              </w:rPr>
              <w:tab/>
            </w:r>
          </w:p>
          <w:p>
            <w:pPr>
              <w:pStyle w:val="Normal"/>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keepNext w:val="true"/>
              <w:tabs>
                <w:tab w:val="clear" w:pos="720"/>
                <w:tab w:val="left" w:pos="4932"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tc>
      </w:tr>
      <w:tr>
        <w:trPr/>
        <w:tc>
          <w:tcPr>
            <w:tcW w:w="10458" w:type="dxa"/>
            <w:gridSpan w:val="2"/>
            <w:tcBorders/>
          </w:tcPr>
          <w:p>
            <w:pPr>
              <w:pStyle w:val="Normal"/>
              <w:tabs>
                <w:tab w:val="clear" w:pos="720"/>
                <w:tab w:val="left" w:pos="4932"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b/>
                <w:smallCaps/>
                <w:sz w:val="20"/>
              </w:rPr>
              <w:t xml:space="preserve">Counterparty:  After you have confirmed Transaction, please return to </w:t>
            </w:r>
            <w:r>
              <w:rPr>
                <w:b/>
                <w:smallCaps/>
                <w:sz w:val="20"/>
              </w:rPr>
              <w:fldChar w:fldCharType="begin"/>
            </w:r>
            <w:r>
              <w:rPr>
                <w:smallCaps/>
                <w:sz w:val="20"/>
                <w:b/>
              </w:rPr>
              <w:instrText xml:space="preserve"> MERGEFIELD EnronEntityCode </w:instrText>
            </w:r>
            <w:r>
              <w:rPr>
                <w:smallCaps/>
                <w:sz w:val="20"/>
                <w:b/>
              </w:rPr>
              <w:fldChar w:fldCharType="separate"/>
            </w:r>
            <w:r>
              <w:rPr>
                <w:smallCaps/>
                <w:sz w:val="20"/>
                <w:b/>
              </w:rPr>
              <w:t>EPMI</w:t>
            </w:r>
            <w:r>
              <w:rPr>
                <w:smallCaps/>
                <w:sz w:val="20"/>
                <w:b/>
              </w:rPr>
              <w:fldChar w:fldCharType="end"/>
            </w:r>
            <w:r>
              <w:rPr>
                <w:b/>
                <w:smallCaps/>
                <w:sz w:val="20"/>
              </w:rPr>
              <w:t xml:space="preserve"> at </w:t>
            </w:r>
            <w:r>
              <w:rPr>
                <w:b/>
                <w:smallCaps/>
                <w:sz w:val="20"/>
              </w:rPr>
              <w:fldChar w:fldCharType="begin"/>
            </w:r>
            <w:r>
              <w:rPr>
                <w:smallCaps/>
                <w:sz w:val="20"/>
                <w:b/>
              </w:rPr>
              <w:instrText xml:space="preserve"> MERGEFIELD EnronFax </w:instrText>
            </w:r>
            <w:r>
              <w:rPr>
                <w:smallCaps/>
                <w:sz w:val="20"/>
                <w:b/>
              </w:rPr>
              <w:fldChar w:fldCharType="separate"/>
            </w:r>
            <w:r>
              <w:rPr>
                <w:smallCaps/>
                <w:sz w:val="20"/>
                <w:b/>
              </w:rPr>
              <w:t>(713) 646-2491</w:t>
            </w:r>
            <w:r>
              <w:rPr>
                <w:smallCaps/>
                <w:sz w:val="20"/>
                <w:b/>
              </w:rPr>
              <w:fldChar w:fldCharType="end"/>
            </w:r>
            <w:r>
              <w:rPr>
                <w:b/>
                <w:smallCaps/>
                <w:sz w:val="20"/>
              </w:rPr>
              <w:t>.</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Justified"/>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0" w:after="0"/>
        <w:rPr>
          <w:sz w:val="22"/>
        </w:rPr>
      </w:pPr>
      <w:r>
        <w:rPr>
          <w:sz w:val="22"/>
        </w:rPr>
      </w:r>
    </w:p>
    <w:p>
      <w:pPr>
        <w:pStyle w:val="Heading2"/>
        <w:spacing w:before="0" w:after="0"/>
        <w:ind w:hanging="0" w:start="0"/>
        <w:rPr/>
      </w:pPr>
      <w:r>
        <w:rPr/>
        <w:t>Attachment:</w:t>
        <w:tab/>
      </w:r>
    </w:p>
    <w:p>
      <w:pPr>
        <w:pStyle w:val="Heading2"/>
        <w:spacing w:before="0" w:after="0"/>
        <w:ind w:hanging="0" w:start="0"/>
        <w:rPr/>
      </w:pPr>
      <w:r>
        <w:rPr/>
        <w:tab/>
        <w:t>Annex A – General Terms and Conditions (“GTC”)</w:t>
      </w:r>
    </w:p>
    <w:p>
      <w:pPr>
        <w:pStyle w:val="Heading2"/>
        <w:spacing w:before="0" w:after="0"/>
        <w:ind w:hanging="0" w:start="0"/>
        <w:rPr/>
      </w:pPr>
      <w:r>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tabs>
                <w:tab w:val="clear" w:pos="720"/>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Ameren Energy, Inc., as agent</w:t>
            </w:r>
            <w:r>
              <w:rPr>
                <w:sz w:val="20"/>
                <w:b/>
              </w:rPr>
              <w:fldChar w:fldCharType="end"/>
            </w:r>
            <w:r>
              <w:rPr>
                <w:b/>
                <w:sz w:val="20"/>
              </w:rPr>
              <w:t xml:space="preserve">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w:t>
            </w: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Ameren Energy, Inc., as agent</w:t>
            </w:r>
            <w:r>
              <w:rPr>
                <w:sz w:val="20"/>
              </w:rPr>
              <w:fldChar w:fldCharType="end"/>
            </w:r>
          </w:p>
          <w:p>
            <w:pPr>
              <w:pStyle w:val="BodyTextIndent3"/>
              <w:keepNext w:val="true"/>
              <w:keepLines/>
              <w:tabs>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0" w:after="0"/>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Ameren Energy, Inc., as agent</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tabs>
                <w:tab w:val="clear" w:pos="720"/>
                <w:tab w:val="clear" w:pos="1440"/>
                <w:tab w:val="clear" w:pos="2160"/>
                <w:tab w:val="clear" w:pos="4320"/>
                <w:tab w:val="clear" w:pos="5040"/>
                <w:tab w:val="clear" w:pos="576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0" w:start="720" w:end="0"/>
              <w:rPr>
                <w:b w:val="false"/>
              </w:rPr>
            </w:pPr>
            <w:r>
              <w:rPr>
                <w:b w:val="false"/>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Ameren Energy, Inc., as agent</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spacing w:before="120" w:after="0"/>
              <w:ind w:hanging="0" w:start="0"/>
              <w:rPr/>
            </w:pPr>
            <w:r>
              <w:rPr>
                <w:b/>
                <w:sz w:val="20"/>
              </w:rPr>
              <w:t xml:space="preserve">All </w:t>
            </w:r>
            <w:r>
              <w:rPr>
                <w:b/>
                <w:sz w:val="20"/>
                <w:u w:val="single"/>
              </w:rPr>
              <w:t xml:space="preserve">notices </w:t>
            </w:r>
            <w:r>
              <w:rPr>
                <w:b/>
                <w:sz w:val="20"/>
              </w:rPr>
              <w:t xml:space="preserve">to </w:t>
            </w:r>
            <w:r>
              <w:rPr>
                <w:b/>
                <w:sz w:val="20"/>
              </w:rPr>
              <w:fldChar w:fldCharType="begin"/>
            </w:r>
            <w:r>
              <w:rPr>
                <w:sz w:val="20"/>
                <w:b/>
              </w:rPr>
              <w:instrText xml:space="preserve"> MERGEFIELD CounterpartyName </w:instrText>
            </w:r>
            <w:r>
              <w:rPr>
                <w:sz w:val="20"/>
                <w:b/>
              </w:rPr>
              <w:fldChar w:fldCharType="separate"/>
            </w:r>
            <w:r>
              <w:rPr>
                <w:sz w:val="20"/>
                <w:b/>
              </w:rPr>
              <w:t>Ameren Energy, Inc., as agent</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Ameren Energy, Inc., as agent</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With </w:t>
            </w:r>
            <w:r>
              <w:rPr>
                <w:b/>
                <w:sz w:val="20"/>
                <w:u w:val="single"/>
              </w:rPr>
              <w:t>notices</w:t>
            </w:r>
            <w:r>
              <w:rPr>
                <w:b/>
                <w:sz w:val="20"/>
              </w:rPr>
              <w:t xml:space="preserve"> pursuant to Section 5 of Annex A also sent to:</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fldChar w:fldCharType="begin"/>
            </w:r>
            <w:r>
              <w:rPr>
                <w:sz w:val="20"/>
              </w:rPr>
              <w:instrText xml:space="preserve"> MERGEFIELD EnronEntityName </w:instrText>
            </w:r>
            <w:r>
              <w:rPr>
                <w:sz w:val="20"/>
              </w:rPr>
              <w:fldChar w:fldCharType="separate"/>
            </w:r>
            <w:r>
              <w:rPr>
                <w:sz w:val="20"/>
              </w:rPr>
              <w:t>Enron Power Marketing, Inc.</w:t>
            </w:r>
            <w:r>
              <w:rPr>
                <w:sz w:val="20"/>
              </w:rPr>
              <w:fldChar w:fldCharType="end"/>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w:t>
              <w:tab/>
              <w:t>Assistant General Counsel</w:t>
            </w:r>
          </w:p>
          <w:p>
            <w:pPr>
              <w:pStyle w:val="Normal"/>
              <w:tabs>
                <w:tab w:val="clear" w:pos="720"/>
                <w:tab w:val="left" w:pos="135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b/>
              <w:t>Trading Group</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713-646-4818</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BodyTextIndent"/>
        <w:rPr>
          <w:smallCaps/>
        </w:rPr>
      </w:pPr>
      <w:r>
        <w:rPr>
          <w:smallCaps/>
        </w:rPr>
        <w:t>Counterparty:  Please confirm or provide the requested information</w:t>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mallCaps/>
          <w:sz w:val="20"/>
        </w:rPr>
      </w:pPr>
      <w:r>
        <w:rPr>
          <w:smallCaps/>
          <w:sz w:val="20"/>
        </w:rPr>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sectPr>
          <w:headerReference w:type="default" r:id="rId3"/>
          <w:headerReference w:type="first" r:id="rId4"/>
          <w:footerReference w:type="default" r:id="rId5"/>
          <w:footerReference w:type="first" r:id="rId6"/>
          <w:type w:val="continuous"/>
          <w:pgSz w:w="12200" w:h="15840"/>
          <w:pgMar w:left="1152" w:right="1094" w:gutter="0" w:header="720" w:top="864" w:footer="720" w:bottom="864"/>
          <w:formProt w:val="true"/>
          <w:titlePg/>
          <w:textDirection w:val="lrTb"/>
          <w:docGrid w:type="default" w:linePitch="360" w:charSpace="0"/>
        </w:sectPr>
      </w:pPr>
    </w:p>
    <w:p>
      <w:pPr>
        <w:pStyle w:val="Heading2"/>
        <w:spacing w:before="0" w:after="240"/>
        <w:ind w:hanging="0" w:start="0"/>
        <w:jc w:val="center"/>
        <w:rPr>
          <w:rFonts w:ascii="Arial Narrow" w:hAnsi="Arial Narrow" w:cs="Arial Narrow"/>
          <w:b/>
          <w:smallCaps/>
          <w:sz w:val="20"/>
          <w:u w:val="single"/>
        </w:rPr>
      </w:pPr>
      <w:r>
        <w:rPr>
          <w:rFonts w:cs="Arial Narrow" w:ascii="Arial Narrow" w:hAnsi="Arial Narrow"/>
          <w:b/>
          <w:smallCaps/>
          <w:sz w:val="20"/>
          <w:u w:val="single"/>
        </w:rPr>
        <w:t>Annex A</w:t>
      </w:r>
    </w:p>
    <w:p>
      <w:pPr>
        <w:pStyle w:val="Normal"/>
        <w:jc w:val="end"/>
        <w:rPr>
          <w:sz w:val="20"/>
        </w:rPr>
      </w:pPr>
      <w:r>
        <w:rPr>
          <w:sz w:val="20"/>
        </w:rPr>
        <w:t>Version 1 - August 10, 1999</w:t>
      </w:r>
    </w:p>
    <w:p>
      <w:pPr>
        <w:sectPr>
          <w:headerReference w:type="default" r:id="rId7"/>
          <w:headerReference w:type="first" r:id="rId8"/>
          <w:footerReference w:type="default" r:id="rId9"/>
          <w:footerReference w:type="first" r:id="rId10"/>
          <w:type w:val="nextPage"/>
          <w:pgSz w:w="12200" w:h="15840"/>
          <w:pgMar w:left="1152" w:right="1095" w:gutter="0" w:header="720" w:top="864" w:footer="720" w:bottom="864"/>
          <w:pgNumType w:start="1" w:fmt="decimal"/>
          <w:formProt w:val="true"/>
          <w:textDirection w:val="lrTb"/>
          <w:docGrid w:type="default" w:linePitch="360" w:charSpace="0"/>
        </w:sectPr>
      </w:pPr>
    </w:p>
    <w:p>
      <w:pPr>
        <w:pStyle w:val="Normal"/>
        <w:jc w:val="center"/>
        <w:rPr>
          <w:rFonts w:ascii="Arial" w:hAnsi="Arial" w:cs="Arial"/>
          <w:b/>
          <w:sz w:val="20"/>
        </w:rPr>
      </w:pPr>
      <w:r>
        <w:rPr>
          <w:rFonts w:cs="Arial" w:ascii="Arial" w:hAnsi="Arial"/>
          <w:b/>
          <w:sz w:val="20"/>
        </w:rPr>
        <w:t>Enron Power Marketing Inc. ("Enron")</w:t>
      </w:r>
    </w:p>
    <w:p>
      <w:pPr>
        <w:pStyle w:val="Heading2"/>
        <w:spacing w:before="0" w:after="240"/>
        <w:ind w:hanging="0" w:start="0"/>
        <w:jc w:val="center"/>
        <w:rPr>
          <w:rFonts w:ascii="Arial" w:hAnsi="Arial" w:cs="Arial"/>
          <w:b/>
          <w:smallCaps/>
          <w:sz w:val="20"/>
        </w:rPr>
      </w:pPr>
      <w:r>
        <w:rPr>
          <w:rFonts w:cs="Arial" w:ascii="Arial" w:hAnsi="Arial"/>
          <w:b/>
          <w:smallCaps/>
          <w:sz w:val="20"/>
        </w:rPr>
        <w:t xml:space="preserve">General Terms and Conditions </w:t>
      </w:r>
      <w:r>
        <w:rPr>
          <w:rFonts w:cs="Arial" w:ascii="Arial" w:hAnsi="Arial"/>
          <w:b/>
          <w:sz w:val="20"/>
        </w:rPr>
        <w:t>("GTC")</w:t>
      </w:r>
    </w:p>
    <w:p>
      <w:pPr>
        <w:sectPr>
          <w:type w:val="continuous"/>
          <w:pgSz w:w="12200" w:h="15840"/>
          <w:pgMar w:left="1152" w:right="1095" w:gutter="0" w:header="720" w:top="864" w:footer="720" w:bottom="864"/>
          <w:formProt w:val="tru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Until a Master Agreement is executed by the Parties, this GTC will govern all Physically Settled Power Transactions except as otherwise expressly agreed to by the Parties.</w:t>
      </w:r>
    </w:p>
    <w:p>
      <w:pPr>
        <w:pStyle w:val="Heading2"/>
        <w:tabs>
          <w:tab w:val="clear" w:pos="720"/>
          <w:tab w:val="left" w:pos="270" w:leader="none"/>
        </w:tabs>
        <w:spacing w:before="120" w:after="0"/>
        <w:ind w:hanging="0" w:start="0"/>
        <w:rPr/>
      </w:pPr>
      <w:r>
        <w:rPr>
          <w:rFonts w:cs="Arial Narrow" w:ascii="Arial Narrow" w:hAnsi="Arial Narrow"/>
          <w:sz w:val="20"/>
        </w:rPr>
        <w:t xml:space="preserve">1.  </w:t>
      </w:r>
      <w:r>
        <w:rPr>
          <w:rFonts w:cs="Arial Narrow" w:ascii="Arial Narrow" w:hAnsi="Arial Narrow"/>
          <w:b/>
          <w:sz w:val="20"/>
          <w:u w:val="single"/>
        </w:rPr>
        <w:t>Transactions.</w:t>
      </w:r>
      <w:r>
        <w:rPr>
          <w:rFonts w:cs="Arial Narrow" w:ascii="Arial Narrow" w:hAnsi="Arial Narrow"/>
          <w:b/>
          <w:sz w:val="20"/>
        </w:rPr>
        <w:t xml:space="preserve">  </w:t>
      </w:r>
      <w:r>
        <w:rPr>
          <w:rFonts w:cs="Arial Narrow" w:ascii="Arial Narrow" w:hAnsi="Arial Narrow"/>
          <w:sz w:val="20"/>
        </w:rPr>
        <w:t xml:space="preserve">From time to time, the Parties may engage in Transactions relating to the purchase and sale of Energy.  Such Transactions shall be formed on the Website in an electronic transaction whereby an offer and acceptance shall constitute the agreement of the Parties, subject to this GTC.  All such Transactions shall be considered a single integrated agreement governed by this GTC. </w:t>
      </w:r>
    </w:p>
    <w:p>
      <w:pPr>
        <w:pStyle w:val="Heading2"/>
        <w:tabs>
          <w:tab w:val="clear" w:pos="720"/>
          <w:tab w:val="left" w:pos="270" w:leader="none"/>
        </w:tabs>
        <w:spacing w:before="120" w:after="0"/>
        <w:ind w:hanging="0" w:start="0"/>
        <w:rPr/>
      </w:pPr>
      <w:r>
        <w:rPr>
          <w:rFonts w:cs="Arial Narrow" w:ascii="Arial Narrow" w:hAnsi="Arial Narrow"/>
          <w:sz w:val="20"/>
        </w:rPr>
        <w:t xml:space="preserve">2.  </w:t>
      </w: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tabs>
          <w:tab w:val="clear" w:pos="720"/>
          <w:tab w:val="left" w:pos="270" w:leader="none"/>
        </w:tabs>
        <w:spacing w:before="120" w:after="0"/>
        <w:ind w:start="0" w:end="0"/>
        <w:rPr/>
      </w:pPr>
      <w:r>
        <w:rPr>
          <w:rFonts w:cs="Arial Narrow" w:ascii="Arial Narrow" w:hAnsi="Arial Narrow"/>
          <w:sz w:val="20"/>
        </w:rPr>
        <w:t xml:space="preserve">3.  </w:t>
      </w:r>
      <w:r>
        <w:rPr>
          <w:rFonts w:cs="Arial Narrow" w:ascii="Arial Narrow" w:hAnsi="Arial Narrow"/>
          <w:b/>
          <w:sz w:val="20"/>
          <w:u w:val="single"/>
        </w:rPr>
        <w:t>Liquidated Damages.</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rFonts w:cs="Arial Narrow" w:ascii="Arial Narrow" w:hAnsi="Arial Narrow"/>
          <w:sz w:val="20"/>
        </w:rPr>
        <w:t xml:space="preserve">4.  </w:t>
      </w:r>
      <w:r>
        <w:rPr>
          <w:rFonts w:cs="Arial Narrow" w:ascii="Arial Narrow" w:hAnsi="Arial Narrow"/>
          <w:b/>
          <w:sz w:val="20"/>
          <w:u w:val="single"/>
        </w:rPr>
        <w:t>Force Majeure.</w:t>
      </w:r>
      <w:r>
        <w:rPr>
          <w:rFonts w:cs="Arial Narrow" w:ascii="Arial Narrow" w:hAnsi="Arial Narrow"/>
          <w:sz w:val="20"/>
        </w:rPr>
        <w:t xml:space="preserve">  If either Party is rendered unable by a Force Majeure to carry out, in whole or part, its obligations under a Transaction, including this GTC,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5.  </w:t>
      </w:r>
      <w:r>
        <w:rPr>
          <w:rFonts w:cs="Arial Narrow" w:ascii="Arial Narrow" w:hAnsi="Arial Narrow"/>
          <w:b/>
          <w:sz w:val="20"/>
          <w:u w:val="single"/>
        </w:rPr>
        <w:t>Events of Default and Remedies.</w:t>
      </w:r>
      <w:r>
        <w:rPr>
          <w:rFonts w:cs="Arial Narrow" w:ascii="Arial Narrow" w:hAnsi="Arial Narrow"/>
          <w:sz w:val="20"/>
        </w:rPr>
        <w:t xml:space="preserve"> </w:t>
      </w:r>
    </w:p>
    <w:p>
      <w:pPr>
        <w:pStyle w:val="Normal"/>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sz w:val="20"/>
        </w:rPr>
        <w:t xml:space="preserve">(a)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tabs>
          <w:tab w:val="clear" w:pos="720"/>
          <w:tab w:val="left" w:pos="270" w:leader="none"/>
          <w:tab w:val="left" w:pos="630" w:leader="none"/>
        </w:tabs>
        <w:spacing w:before="120" w:after="0"/>
        <w:jc w:val="both"/>
        <w:rPr/>
      </w:pPr>
      <w:r>
        <w:rPr>
          <w:rFonts w:cs="Arial Narrow" w:ascii="Arial Narrow" w:hAnsi="Arial Narrow"/>
          <w:sz w:val="20"/>
        </w:rPr>
        <w:t>(b)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tabs>
          <w:tab w:val="clear" w:pos="720"/>
          <w:tab w:val="left" w:pos="270" w:leader="none"/>
          <w:tab w:val="left" w:pos="540" w:leader="none"/>
          <w:tab w:val="left" w:pos="1080" w:leader="none"/>
        </w:tabs>
        <w:ind w:hanging="0" w:end="0"/>
        <w:rPr>
          <w:rFonts w:ascii="Arial Narrow" w:hAnsi="Arial Narrow" w:cs="Arial Narrow"/>
        </w:rPr>
      </w:pPr>
      <w:r>
        <w:rPr>
          <w:rFonts w:cs="Arial Narrow" w:ascii="Arial Narrow" w:hAnsi="Arial Narrow"/>
        </w:rPr>
        <w:t xml:space="preserve">(c)  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pPr>
      <w:r>
        <w:rPr>
          <w:rFonts w:cs="Arial Narrow" w:ascii="Arial Narrow" w:hAnsi="Arial Narrow"/>
          <w:sz w:val="20"/>
        </w:rPr>
        <w:t xml:space="preserve">6.  </w:t>
      </w: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tabs>
          <w:tab w:val="clear" w:pos="720"/>
          <w:tab w:val="left" w:pos="270" w:leader="none"/>
          <w:tab w:val="left" w:pos="540" w:leader="none"/>
          <w:tab w:val="left" w:pos="1080" w:leader="none"/>
        </w:tabs>
        <w:spacing w:before="120" w:after="0"/>
        <w:ind w:hanging="0" w:start="0"/>
        <w:rPr>
          <w:rFonts w:ascii="Arial Narrow" w:hAnsi="Arial Narrow" w:cs="Arial Narrow"/>
          <w:sz w:val="20"/>
        </w:rPr>
      </w:pPr>
      <w:r>
        <w:rPr>
          <w:rFonts w:cs="Arial Narrow" w:ascii="Arial Narrow" w:hAnsi="Arial Narrow"/>
          <w:sz w:val="20"/>
        </w:rPr>
        <w:t>(b)  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Heading2"/>
        <w:tabs>
          <w:tab w:val="clear" w:pos="720"/>
          <w:tab w:val="left" w:pos="270" w:leader="none"/>
          <w:tab w:val="left" w:pos="1080" w:leader="none"/>
        </w:tabs>
        <w:spacing w:before="240" w:after="0"/>
        <w:ind w:hanging="0" w:start="0"/>
        <w:rPr/>
      </w:pPr>
      <w:r>
        <w:rPr>
          <w:rFonts w:cs="Arial Narrow" w:ascii="Arial Narrow" w:hAnsi="Arial Narrow"/>
          <w:sz w:val="20"/>
        </w:rPr>
        <w:t xml:space="preserve">7.  </w:t>
      </w:r>
      <w:r>
        <w:rPr>
          <w:rFonts w:cs="Arial Narrow" w:ascii="Arial Narrow" w:hAnsi="Arial Narrow"/>
          <w:b/>
          <w:sz w:val="20"/>
          <w:u w:val="single"/>
        </w:rPr>
        <w:t>Limitation of Liability.</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Arial Narrow" w:ascii="Arial Narrow" w:hAnsi="Arial Narrow"/>
          <w:sz w:val="20"/>
        </w:rPr>
        <w:t xml:space="preserve">8.  </w:t>
      </w: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this GTC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Arial Narrow" w:ascii="Arial Narrow" w:hAnsi="Arial Narrow"/>
          <w:sz w:val="20"/>
        </w:rPr>
        <w:t xml:space="preserve">9.  </w:t>
      </w:r>
      <w:r>
        <w:rPr>
          <w:rFonts w:cs="Arial Narrow" w:ascii="Arial Narrow" w:hAnsi="Arial Narrow"/>
          <w:b/>
          <w:sz w:val="20"/>
          <w:u w:val="single"/>
        </w:rPr>
        <w:t>Taxes.</w:t>
      </w:r>
      <w:r>
        <w:rPr>
          <w:rFonts w:cs="Arial Narrow" w:ascii="Arial Narrow" w:hAnsi="Arial Narrow"/>
          <w:sz w:val="20"/>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Normal"/>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jc w:val="both"/>
        <w:rPr/>
      </w:pPr>
      <w:r>
        <w:rPr>
          <w:rFonts w:cs="Arial Narrow" w:ascii="Arial Narrow" w:hAnsi="Arial Narrow"/>
          <w:sz w:val="20"/>
        </w:rPr>
        <w:t xml:space="preserve">10.  </w:t>
      </w:r>
      <w:r>
        <w:rPr>
          <w:rFonts w:cs="Arial Narrow" w:ascii="Arial Narrow" w:hAnsi="Arial Narrow"/>
          <w:b/>
          <w:sz w:val="20"/>
          <w:u w:val="single"/>
        </w:rPr>
        <w:t>Miscellaneous.</w:t>
      </w:r>
      <w:r>
        <w:rPr>
          <w:rFonts w:cs="Arial Narrow" w:ascii="Arial Narrow" w:hAnsi="Arial Narrow"/>
          <w:sz w:val="20"/>
        </w:rPr>
        <w:t xml:space="preserve">  (a) Each of the Parties represents and warrants that it has all regulatory authorizations necessary for it to legally perform its obligations under this GTC and each Transaction; the execution, delivery and performance of this GTC and each Transaction are within its powers, have been duly authorized by all necessary action and do not violate any of the terms and conditions in its governing documents, any contracts to which it is a party or any law or regulation applicable to it; this GTC and each Transaction when entered into in accordance with this GTC constitutes its legally valid and binding obligation enforceable against it in accordance with its terms, subject to any equitable defenses; with respect to each Transaction, it has the ability to make or take delivery of the Energy and has entered into such Transaction with the intention to do so;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and except as otherwise expressly agreed in wirting by the Parties, this GTC will supplement, form part of, and be subject to the Master Agreement.  In the event of any inconsistency between this GTC and the Master Agreement, the Master Agreement shall govern except as expressly set forth therein or except as otherwise expressly agreed in writing by the Parties.  In the event of any inconsistency between the Transaction and this GTC or the Master Agreement, the terms in the Transaction shall govern.</w:t>
      </w:r>
    </w:p>
    <w:p>
      <w:pPr>
        <w:pStyle w:val="BodyTextIndent2"/>
        <w:tabs>
          <w:tab w:val="clear" w:pos="720"/>
          <w:tab w:val="left" w:pos="270" w:leader="none"/>
          <w:tab w:val="left" w:pos="540" w:leader="none"/>
          <w:tab w:val="left" w:pos="1080" w:leader="none"/>
        </w:tabs>
        <w:ind w:hanging="0" w:end="0"/>
        <w:rPr>
          <w:rFonts w:ascii="Arial Narrow" w:hAnsi="Arial Narrow" w:cs="Arial Narrow"/>
        </w:rPr>
      </w:pPr>
      <w:r>
        <w:rPr>
          <w:rFonts w:cs="Arial Narrow" w:ascii="Arial Narrow" w:hAnsi="Arial Narrow"/>
        </w:rPr>
        <w:t>(c)  This GTC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this GTC without the prior written consent of the other Party, which consent may be withheld in its sole discretion; provided, however, either Party may transfer or assign any Transaction or this GTC to an Affiliate (so long as such Affiliate agrees to make the representation in Section 10(a)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this GTC; and provided, further, that if a Regulatory Event occurs, the Parties shall use their best efforts to reform such Transaction or this GTC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this GTC,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BodyTextIndent2"/>
        <w:tabs>
          <w:tab w:val="clear" w:pos="720"/>
          <w:tab w:val="left" w:pos="270" w:leader="none"/>
          <w:tab w:val="left" w:pos="540" w:leader="none"/>
          <w:tab w:val="left" w:pos="1080" w:leader="none"/>
        </w:tabs>
        <w:ind w:hanging="0" w:end="0"/>
        <w:rPr/>
      </w:pPr>
      <w:r>
        <w:rPr>
          <w:rFonts w:cs="Arial Narrow" w:ascii="Arial Narrow" w:hAnsi="Arial Narrow"/>
        </w:rPr>
        <w:t xml:space="preserve">(d)  </w:t>
      </w:r>
      <w:r>
        <w:rPr>
          <w:rFonts w:cs="Arial Narrow" w:ascii="Arial Narrow" w:hAnsi="Arial Narrow"/>
          <w:b/>
        </w:rPr>
        <w:t>Any dispute relating to a Transaction or this GTC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GTC may be awarded and the arbitrators shall have no authority to award treble, exemplary or punitive damages of any kind under any circumstances regardless of whether such damages may be available under the governing law for this GTC and/or the FAA or AAA.  The arbitration shall be conducted in Houston, Texas and such arbitration and any related award shall be confidential.</w:t>
      </w:r>
    </w:p>
    <w:p>
      <w:pPr>
        <w:pStyle w:val="BodyTextIndent2"/>
        <w:tabs>
          <w:tab w:val="clear" w:pos="720"/>
          <w:tab w:val="left" w:pos="270" w:leader="none"/>
          <w:tab w:val="left" w:pos="540" w:leader="none"/>
          <w:tab w:val="left" w:pos="1080" w:leader="none"/>
        </w:tabs>
        <w:ind w:hanging="0" w:end="0"/>
        <w:rPr>
          <w:rFonts w:ascii="Arial Narrow" w:hAnsi="Arial Narrow" w:cs="Arial Narrow"/>
          <w:b/>
        </w:rPr>
      </w:pPr>
      <w:r>
        <w:rPr>
          <w:rFonts w:cs="Arial Narrow" w:ascii="Arial Narrow" w:hAnsi="Arial Narrow"/>
        </w:rPr>
        <w:t>(e)</w:t>
        <w:tab/>
        <w:t>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Normal"/>
        <w:tabs>
          <w:tab w:val="clear" w:pos="720"/>
          <w:tab w:val="left" w:pos="270" w:leader="none"/>
          <w:tab w:val="left" w:pos="810" w:leader="none"/>
          <w:tab w:val="left" w:pos="1080" w:leader="none"/>
          <w:tab w:val="left" w:pos="1170" w:leader="none"/>
        </w:tabs>
        <w:spacing w:before="120" w:after="0"/>
        <w:jc w:val="both"/>
        <w:rPr/>
      </w:pPr>
      <w:r>
        <w:rPr>
          <w:rFonts w:cs="Arial Narrow" w:ascii="Arial Narrow" w:hAnsi="Arial Narrow"/>
          <w:sz w:val="20"/>
        </w:rPr>
        <w:t xml:space="preserve">11.  </w:t>
      </w:r>
      <w:r>
        <w:rPr>
          <w:rFonts w:cs="Arial Narrow" w:ascii="Arial Narrow" w:hAnsi="Arial Narrow"/>
          <w:b/>
          <w:sz w:val="20"/>
          <w:u w:val="single"/>
        </w:rPr>
        <w:t>Definitions.</w:t>
      </w:r>
      <w:r>
        <w:rPr>
          <w:rFonts w:cs="Arial Narrow" w:ascii="Arial Narrow" w:hAnsi="Arial Narrow"/>
          <w:b/>
          <w:sz w:val="20"/>
        </w:rPr>
        <w:t xml:space="preserve">  </w:t>
      </w:r>
      <w:r>
        <w:rPr>
          <w:rFonts w:cs="Arial Narrow" w:ascii="Arial Narrow" w:hAnsi="Arial Narrow"/>
          <w:sz w:val="20"/>
        </w:rPr>
        <w:t xml:space="preserve">All capitalized terms used herein shall have the meanings ascribed to them on the Web Site or in the Confirmation Letter unless otherwise defined herein.  The following definitions and any terms defined internally in this GTC shall apply to this GTC and all notices and communications made pursuant to this GTC. </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Justified"/>
        <w:tabs>
          <w:tab w:val="clear" w:pos="720"/>
          <w:tab w:val="left" w:pos="270" w:leader="none"/>
        </w:tabs>
        <w:spacing w:before="120" w:after="0"/>
        <w:rPr>
          <w:rFonts w:ascii="Arial Narrow" w:hAnsi="Arial Narrow" w:cs="Arial Narrow"/>
          <w:b/>
          <w:i/>
          <w:i/>
          <w:sz w:val="20"/>
        </w:rPr>
      </w:pPr>
      <w:r>
        <w:rPr>
          <w:rFonts w:cs="Arial Narrow" w:ascii="Arial Narrow" w:hAnsi="Arial Narrow"/>
          <w:sz w:val="20"/>
        </w:rPr>
        <w:t>"</w:t>
      </w:r>
      <w:r>
        <w:rPr>
          <w:rFonts w:cs="Arial Narrow" w:ascii="Arial Narrow" w:hAnsi="Arial Narrow"/>
          <w:i/>
          <w:sz w:val="20"/>
          <w:u w:val="single"/>
        </w:rPr>
        <w:t>Call Option</w:t>
      </w:r>
      <w:r>
        <w:rPr>
          <w:rFonts w:cs="Arial Narrow" w:ascii="Arial Narrow" w:hAnsi="Arial Narrow"/>
          <w:sz w:val="20"/>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rFonts w:cs="Arial Narrow" w:ascii="Arial Narrow" w:hAnsi="Arial Narrow"/>
          <w:i/>
          <w:sz w:val="20"/>
        </w:rPr>
        <w:t>"</w:t>
      </w:r>
      <w:r>
        <w:rPr>
          <w:rFonts w:cs="Arial Narrow" w:ascii="Arial Narrow" w:hAnsi="Arial Narrow"/>
          <w:i/>
          <w:sz w:val="20"/>
          <w:u w:val="single"/>
        </w:rPr>
        <w:t>Claims</w:t>
      </w:r>
      <w:r>
        <w:rPr>
          <w:rFonts w:cs="Arial Narrow" w:ascii="Arial Narrow" w:hAnsi="Arial Narrow"/>
          <w:i/>
          <w:sz w:val="20"/>
        </w:rPr>
        <w:t>"</w:t>
      </w:r>
      <w:r>
        <w:rPr>
          <w:rFonts w:cs="Arial Narrow" w:ascii="Arial Narrow" w:hAnsi="Arial Narrow"/>
          <w:sz w:val="20"/>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a Transaction.</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Confirmation Letter</w:t>
      </w:r>
      <w:r>
        <w:rPr>
          <w:rFonts w:cs="Arial Narrow" w:ascii="Arial Narrow" w:hAnsi="Arial Narrow"/>
          <w:i/>
          <w:sz w:val="20"/>
        </w:rPr>
        <w:t xml:space="preserve">" </w:t>
      </w:r>
      <w:r>
        <w:rPr>
          <w:rFonts w:cs="Arial Narrow" w:ascii="Arial Narrow" w:hAnsi="Arial Narrow"/>
          <w:sz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in $U.S. (unless otherwise provided for) to be paid by Buyer to Seller for the purchase of Energy pursuant to the terms of a Transaction or in the case of Options, the Strike Price.</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 xml:space="preserve">" </w:t>
      </w:r>
      <w:r>
        <w:rPr>
          <w:rFonts w:cs="Arial Narrow" w:ascii="Arial Narrow" w:hAnsi="Arial Narrow"/>
          <w:sz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rFonts w:cs="Arial Narrow" w:ascii="Arial Narrow" w:hAnsi="Arial Narrow"/>
          <w:i/>
          <w:sz w:val="20"/>
        </w:rPr>
        <w:t>"</w:t>
      </w:r>
      <w:r>
        <w:rPr>
          <w:rFonts w:cs="Arial Narrow" w:ascii="Arial Narrow" w:hAnsi="Arial Narrow"/>
          <w:i/>
          <w:sz w:val="20"/>
          <w:u w:val="single"/>
        </w:rPr>
        <w:t>Delivery Point</w:t>
      </w:r>
      <w:r>
        <w:rPr>
          <w:rFonts w:cs="Arial Narrow" w:ascii="Arial Narrow" w:hAnsi="Arial Narrow"/>
          <w:i/>
          <w:sz w:val="20"/>
        </w:rPr>
        <w:t xml:space="preserve">" </w:t>
      </w:r>
      <w:r>
        <w:rPr>
          <w:rFonts w:cs="Arial Narrow" w:ascii="Arial Narrow" w:hAnsi="Arial Narrow"/>
          <w:sz w:val="20"/>
        </w:rPr>
        <w:t>means the agreed point of delivery and receipt of Energy pursuant to a Transaction.</w:t>
      </w:r>
    </w:p>
    <w:p>
      <w:pPr>
        <w:pStyle w:val="Heading2"/>
        <w:spacing w:before="120" w:after="0"/>
        <w:ind w:hanging="0" w:start="0"/>
        <w:rPr/>
      </w:pPr>
      <w:r>
        <w:rPr>
          <w:rFonts w:cs="Arial Narrow" w:ascii="Arial Narrow" w:hAnsi="Arial Narrow"/>
          <w:sz w:val="20"/>
        </w:rPr>
        <w:t>"</w:t>
      </w:r>
      <w:r>
        <w:rPr>
          <w:rFonts w:cs="Arial Narrow" w:ascii="Arial Narrow" w:hAnsi="Arial Narrow"/>
          <w:i/>
          <w:sz w:val="20"/>
          <w:u w:val="single"/>
        </w:rPr>
        <w:t>Delivery Term</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Enron</w:t>
      </w:r>
      <w:r>
        <w:rPr>
          <w:rFonts w:cs="Arial Narrow" w:ascii="Arial Narrow" w:hAnsi="Arial Narrow"/>
          <w:i/>
          <w:sz w:val="20"/>
        </w:rPr>
        <w:t>"</w:t>
      </w:r>
      <w:r>
        <w:rPr>
          <w:rFonts w:cs="Arial Narrow" w:ascii="Arial Narrow" w:hAnsi="Arial Narrow"/>
          <w:sz w:val="20"/>
        </w:rPr>
        <w:t xml:space="preserve"> means Enron Power Marketing, Inc. and/or its affiliates (including, but not limited to, Enron Capital &amp; Trade Resources Corp. and Enron Corporation).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governing the purchase and/or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Taxes</w:t>
      </w:r>
      <w:r>
        <w:rPr>
          <w:rFonts w:cs="Arial Narrow" w:ascii="Arial Narrow" w:hAnsi="Arial Narrow"/>
          <w:i/>
          <w:sz w:val="20"/>
        </w:rPr>
        <w:t>"</w:t>
      </w:r>
      <w:r>
        <w:rPr>
          <w:rFonts w:cs="Arial Narrow" w:ascii="Arial Narrow" w:hAnsi="Arial Narrow"/>
          <w:sz w:val="20"/>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Trade Date</w:t>
      </w:r>
      <w:r>
        <w:rPr>
          <w:rFonts w:cs="Arial Narrow" w:ascii="Arial Narrow" w:hAnsi="Arial Narrow"/>
          <w:i/>
          <w:sz w:val="20"/>
        </w:rPr>
        <w:t xml:space="preserve">" </w:t>
      </w:r>
      <w:r>
        <w:rPr>
          <w:rFonts w:cs="Arial Narrow" w:ascii="Arial Narrow" w:hAnsi="Arial Narrow"/>
          <w:sz w:val="20"/>
        </w:rPr>
        <w:t>means the date of a Transaction.</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Transaction</w:t>
      </w:r>
      <w:r>
        <w:rPr>
          <w:rFonts w:cs="Arial Narrow" w:ascii="Arial Narrow" w:hAnsi="Arial Narrow"/>
          <w:i/>
          <w:sz w:val="20"/>
        </w:rPr>
        <w:t>"</w:t>
      </w:r>
      <w:r>
        <w:rPr>
          <w:rFonts w:cs="Arial Narrow" w:ascii="Arial Narrow" w:hAnsi="Arial Narrow"/>
          <w:sz w:val="20"/>
        </w:rPr>
        <w:t xml:space="preserve"> means a particular transaction conducted on the Website and agreed to by the Parties relating to the purchase and/or sale of Energy, which transaction shall specifically incorporate by this reference this GTC as well as the short descriptions and long definitions posted on the Website in respect of the products which are the subject matter of such transaction.  </w:t>
      </w:r>
    </w:p>
    <w:p>
      <w:pPr>
        <w:pStyle w:val="Normal"/>
        <w:spacing w:before="120" w:after="0"/>
        <w:jc w:val="both"/>
        <w:rPr>
          <w:rFonts w:ascii="Arial Narrow" w:hAnsi="Arial Narrow" w:cs="Arial Narrow"/>
          <w:sz w:val="20"/>
          <w:lang w:val="en-CA" w:eastAsia="en-CA"/>
        </w:rPr>
      </w:pPr>
      <w:r>
        <w:rPr>
          <w:rFonts w:cs="Arial Narrow" w:ascii="Arial Narrow" w:hAnsi="Arial Narrow"/>
          <w:sz w:val="20"/>
        </w:rPr>
        <w:t>“</w:t>
      </w:r>
      <w:r>
        <w:rPr>
          <w:rFonts w:cs="Arial Narrow" w:ascii="Arial Narrow" w:hAnsi="Arial Narrow"/>
          <w:i/>
          <w:sz w:val="20"/>
          <w:u w:val="single"/>
        </w:rPr>
        <w:t>Website</w:t>
      </w:r>
      <w:r>
        <w:rPr>
          <w:rFonts w:cs="Arial Narrow" w:ascii="Arial Narrow" w:hAnsi="Arial Narrow"/>
          <w:sz w:val="20"/>
        </w:rPr>
        <w:t>” means the website or other internet-based electronic trading facility established by Enron that references this GTC.</w:t>
      </w: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Narrow" w:hAnsi="Arial Narrow" w:cs="Arial Narrow"/>
          <w:sz w:val="20"/>
          <w:lang w:val="en-CA" w:eastAsia="en-CA"/>
        </w:rPr>
      </w:pPr>
      <w:r>
        <w:rPr>
          <w:rFonts w:cs="Arial Narrow" w:ascii="Arial Narrow" w:hAnsi="Arial Narrow"/>
          <w:sz w:val="20"/>
          <w:lang w:val="en-CA" w:eastAsia="en-CA"/>
        </w:rPr>
      </w:r>
    </w:p>
    <w:p>
      <w:pPr>
        <w:sectPr>
          <w:type w:val="continuous"/>
          <w:pgSz w:w="12200" w:h="15840"/>
          <w:pgMar w:left="1152" w:right="1095" w:gutter="0" w:header="720" w:top="864" w:footer="720" w:bottom="864"/>
          <w:cols w:num="2" w:space="708" w:equalWidth="true" w:sep="false"/>
          <w:formProt w:val="true"/>
          <w:textDirection w:val="lrTb"/>
          <w:docGrid w:type="default" w:linePitch="360" w:charSpace="0"/>
        </w:sectPr>
      </w:pPr>
    </w:p>
    <w:p>
      <w:pPr>
        <w:pStyle w:val="Heading2"/>
        <w:spacing w:before="0" w:after="240"/>
        <w:ind w:hanging="0" w:start="0"/>
        <w:jc w:val="center"/>
        <w:rPr/>
      </w:pPr>
      <w:r>
        <w:rPr/>
      </w:r>
    </w:p>
    <w:sectPr>
      <w:type w:val="continuous"/>
      <w:pgSz w:w="12200" w:h="15840"/>
      <w:pgMar w:left="1152" w:right="1095"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
  </w:p>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p>
    <w:pPr>
      <w:pStyle w:val="Footer"/>
      <w:jc w:val="center"/>
      <w:rPr>
        <w:rStyle w:val="PageNumber"/>
        <w:sz w:val="18"/>
      </w:rPr>
    </w:pPr>
    <w:r>
      <w:rPr/>
    </w:r>
  </w:p>
  <w:p>
    <w:pPr>
      <w:pStyle w:val="Footer"/>
      <w:rPr>
        <w:rStyle w:val="PageNumber"/>
      </w:rPr>
    </w:pPr>
    <w:r>
      <w:rPr>
        <w:rStyle w:val="PageNumber"/>
        <w:sz w:val="18"/>
      </w:rPr>
      <w:t>Form Date: 9/99</w:t>
    </w:r>
  </w:p>
  <w:p>
    <w:pPr>
      <w:pStyle w:val="Footer"/>
      <w:rPr>
        <w:rStyle w:val="PageNumber"/>
        <w:sz w:val="18"/>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8"/>
      </w:rPr>
    </w:pPr>
    <w:r>
      <w:rPr>
        <w:rStyle w:val="PageNumbe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p>
    <w:pPr>
      <w:pStyle w:val="Footer"/>
      <w:jc w:val="center"/>
      <w:rPr>
        <w:rStyle w:val="PageNumber"/>
        <w:sz w:val="18"/>
      </w:rPr>
    </w:pPr>
    <w:r>
      <w:rPr/>
    </w:r>
  </w:p>
  <w:p>
    <w:pPr>
      <w:pStyle w:val="Footer"/>
      <w:rPr/>
    </w:pPr>
    <w:r>
      <w:rPr>
        <w:rStyle w:val="PageNumber"/>
        <w:sz w:val="18"/>
      </w:rPr>
      <w:t>Form Date: 9/99</w:t>
    </w:r>
  </w:p>
  <w:p>
    <w:pPr>
      <w:pStyle w:val="Footer"/>
      <w:rPr>
        <w:rStyle w:val="PageNumber"/>
        <w:sz w:val="18"/>
      </w:rPr>
    </w:pPr>
    <w:r>
      <w:rPr/>
    </w:r>
  </w:p>
  <w:p>
    <w:pPr>
      <w:pStyle w:val="Footer"/>
      <w:rPr>
        <w:rStyle w:val="PageNumber"/>
        <w:sz w:val="18"/>
      </w:rPr>
    </w:pPr>
    <w:r>
      <w:rPr/>
    </w:r>
  </w:p>
  <w:p>
    <w:pPr>
      <w:pStyle w:val="Footer"/>
      <w:rPr>
        <w:rStyle w:val="PageNumber"/>
        <w:sz w:val="18"/>
      </w:rPr>
    </w:pPr>
    <w:r>
      <w:rPr/>
    </w:r>
  </w:p>
  <w:p>
    <w:pPr>
      <w:pStyle w:val="Normal"/>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45.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jc w:val="center"/>
      <w:rPr>
        <w:sz w:val="20"/>
      </w:rPr>
    </w:pPr>
    <w:r>
      <w:rPr>
        <w:sz w:val="20"/>
      </w:rPr>
    </w:r>
  </w:p>
  <w:p>
    <w:pPr>
      <w:pStyle w:val="Footer"/>
      <w:jc w:val="center"/>
      <w:rPr>
        <w:sz w:val="20"/>
      </w:rPr>
    </w:pPr>
    <w:r>
      <w:rPr>
        <w:sz w:val="20"/>
      </w:rPr>
    </w:r>
  </w:p>
  <w:p>
    <w:pPr>
      <w:pStyle w:val="Footer"/>
      <w:jc w:val="center"/>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Narrow" w:hAnsi="Arial Narrow" w:cs="Arial Narrow"/>
        <w:smallCaps/>
        <w:sz w:val="18"/>
      </w:rPr>
    </w:pPr>
    <w:r>
      <w:rPr>
        <w:rFonts w:eastAsia="Arial Narrow" w:cs="Arial Narrow" w:ascii="Arial Narrow" w:hAnsi="Arial Narrow"/>
        <w:smallCaps/>
        <w:sz w:val="18"/>
      </w:rPr>
      <w:t xml:space="preserve"> </w:t>
    </w:r>
    <w:r>
      <w:rPr>
        <w:rFonts w:cs="Arial Narrow" w:ascii="Arial Narrow" w:hAnsi="Arial Narrow"/>
        <w:smallCaps/>
        <w:sz w:val="18"/>
      </w:rPr>
      <w:tab/>
      <w:tab/>
    </w:r>
  </w:p>
  <w:p>
    <w:pPr>
      <w:pStyle w:val="Header"/>
      <w:tabs>
        <w:tab w:val="center" w:pos="4320" w:leader="none"/>
        <w:tab w:val="left" w:pos="7380" w:leader="none"/>
        <w:tab w:val="right" w:pos="8640" w:leader="none"/>
      </w:tabs>
      <w:ind w:start="7380" w:end="0"/>
      <w:rPr>
        <w:smallCaps/>
        <w:sz w:val="22"/>
      </w:rPr>
    </w:pPr>
    <w:r>
      <w:rPr>
        <w:smallCaps/>
        <w:sz w:val="22"/>
      </w:rPr>
      <w:fldChar w:fldCharType="begin"/>
    </w:r>
    <w:r>
      <w:rPr>
        <w:smallCaps/>
        <w:sz w:val="22"/>
      </w:rPr>
      <w:instrText xml:space="preserve"> AUTHOR </w:instrText>
    </w:r>
    <w:r>
      <w:rPr>
        <w:smallCaps/>
        <w:sz w:val="22"/>
      </w:rPr>
      <w:fldChar w:fldCharType="separate"/>
    </w:r>
    <w:r>
      <w:rPr>
        <w:smallCaps/>
        <w:sz w:val="22"/>
      </w:rPr>
      <w:t>EOL 1095182</w:t>
    </w:r>
    <w:r>
      <w:rPr>
        <w:smallCaps/>
        <w:sz w:val="22"/>
      </w:rPr>
      <w:fldChar w:fldCharType="end"/>
    </w:r>
  </w:p>
  <w:p>
    <w:pPr>
      <w:pStyle w:val="Header"/>
      <w:tabs>
        <w:tab w:val="center" w:pos="4320" w:leader="none"/>
        <w:tab w:val="left" w:pos="7380" w:leader="none"/>
        <w:tab w:val="right" w:pos="8640" w:leader="none"/>
      </w:tabs>
      <w:ind w:start="7380" w:end="0"/>
      <w:rPr>
        <w:rStyle w:val="PageNumber"/>
        <w:sz w:val="22"/>
      </w:rPr>
    </w:pPr>
    <w:r>
      <w:rPr>
        <w:sz w:val="22"/>
      </w:rPr>
      <w:t xml:space="preserve">Deal No. </w:t>
    </w:r>
    <w:r>
      <w:rPr>
        <w:sz w:val="22"/>
      </w:rPr>
      <w:fldChar w:fldCharType="begin"/>
    </w:r>
    <w:r>
      <w:rPr>
        <w:sz w:val="22"/>
      </w:rPr>
      <w:instrText xml:space="preserve"> TITLE </w:instrText>
    </w:r>
    <w:r>
      <w:rPr>
        <w:sz w:val="22"/>
      </w:rPr>
      <w:fldChar w:fldCharType="separate"/>
    </w:r>
    <w:r>
      <w:rPr>
        <w:sz w:val="22"/>
      </w:rPr>
      <w:t>572426.01</w:t>
    </w:r>
    <w:r>
      <w:rPr>
        <w:sz w:val="22"/>
      </w:rPr>
      <w:fldChar w:fldCharType="end"/>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smallCaps/>
        <w:sz w:val="18"/>
      </w:rPr>
      <w:tab/>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smallCaps/>
        <w:sz w:val="22"/>
      </w:rPr>
    </w:pPr>
    <w:r>
      <w:rPr>
        <w:smallCaps/>
        <w:sz w:val="22"/>
      </w:rPr>
      <w:t xml:space="preserve">                                                                                                                                                             </w:t>
    </w:r>
    <w:r>
      <w:rPr>
        <w:smallCaps/>
        <w:sz w:val="22"/>
      </w:rPr>
      <w:tab/>
    </w:r>
  </w:p>
  <w:p>
    <w:pPr>
      <w:pStyle w:val="Header"/>
      <w:tabs>
        <w:tab w:val="center" w:pos="4320" w:leader="none"/>
        <w:tab w:val="left" w:pos="7380" w:leader="none"/>
        <w:tab w:val="right" w:pos="8640" w:leader="none"/>
      </w:tabs>
      <w:ind w:start="7380" w:end="0"/>
      <w:rPr>
        <w:sz w:val="22"/>
      </w:rPr>
    </w:pPr>
    <w:r>
      <w:rPr>
        <w:sz w:val="22"/>
      </w:rPr>
      <w:fldChar w:fldCharType="begin"/>
    </w:r>
    <w:r>
      <w:rPr>
        <w:sz w:val="22"/>
      </w:rPr>
      <w:instrText xml:space="preserve"> AUTHOR </w:instrText>
    </w:r>
    <w:r>
      <w:rPr>
        <w:sz w:val="22"/>
      </w:rPr>
      <w:fldChar w:fldCharType="separate"/>
    </w:r>
    <w:r>
      <w:rPr>
        <w:sz w:val="22"/>
      </w:rPr>
      <w:t>EOL 1095182</w:t>
    </w:r>
    <w:r>
      <w:rPr>
        <w:sz w:val="22"/>
      </w:rPr>
      <w:fldChar w:fldCharType="end"/>
    </w:r>
  </w:p>
  <w:p>
    <w:pPr>
      <w:pStyle w:val="Header"/>
      <w:tabs>
        <w:tab w:val="center" w:pos="4320" w:leader="none"/>
        <w:tab w:val="left" w:pos="7380" w:leader="none"/>
        <w:tab w:val="right" w:pos="8640" w:leader="none"/>
      </w:tabs>
      <w:ind w:start="7380" w:end="0"/>
      <w:rPr/>
    </w:pPr>
    <w:r>
      <w:rPr>
        <w:sz w:val="22"/>
      </w:rPr>
      <w:t xml:space="preserve">Deal No. </w:t>
    </w:r>
    <w:r>
      <w:rPr>
        <w:sz w:val="22"/>
      </w:rPr>
      <w:fldChar w:fldCharType="begin"/>
    </w:r>
    <w:r>
      <w:rPr>
        <w:sz w:val="22"/>
      </w:rPr>
      <w:instrText xml:space="preserve"> TITLE </w:instrText>
    </w:r>
    <w:r>
      <w:rPr>
        <w:sz w:val="22"/>
      </w:rPr>
      <w:fldChar w:fldCharType="separate"/>
    </w:r>
    <w:r>
      <w:rPr>
        <w:sz w:val="22"/>
      </w:rPr>
      <w:t>572426.01</w:t>
    </w:r>
    <w:r>
      <w:rPr>
        <w:sz w:val="22"/>
      </w:rPr>
      <w:fldChar w:fldCharType="end"/>
    </w:r>
    <w:r>
      <w:rPr>
        <w:rFonts w:cs="Arial Narrow" w:ascii="Arial Narrow" w:hAnsi="Arial Narrow"/>
        <w:b/>
        <w:smallCaps/>
        <w:sz w:val="18"/>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 w:val="left" w:pos="7470" w:leader="none"/>
      </w:tabs>
      <w:rPr/>
    </w:pPr>
    <w:r>
      <w:rPr/>
      <w:tab/>
      <w:tab/>
    </w:r>
    <w:r>
      <w:rPr>
        <w:rFonts w:cs="Courier New" w:ascii="Courier New" w:hAnsi="Courier New"/>
        <w:b/>
        <w:sz w:val="20"/>
      </w:rPr>
      <w:t xml:space="preserve">                     </w:t>
    </w:r>
  </w:p>
  <w:p>
    <w:pPr>
      <w:pStyle w:val="Header"/>
      <w:tabs>
        <w:tab w:val="center" w:pos="4320" w:leader="none"/>
        <w:tab w:val="left" w:pos="7380" w:leader="none"/>
        <w:tab w:val="right" w:pos="8640" w:leader="none"/>
      </w:tabs>
      <w:ind w:start="7380" w:end="0"/>
      <w:rPr>
        <w:sz w:val="22"/>
      </w:rPr>
    </w:pPr>
    <w:r>
      <w:rPr>
        <w:sz w:val="22"/>
      </w:rPr>
      <w:fldChar w:fldCharType="begin"/>
    </w:r>
    <w:r>
      <w:rPr>
        <w:sz w:val="22"/>
      </w:rPr>
      <w:instrText xml:space="preserve"> AUTHOR </w:instrText>
    </w:r>
    <w:r>
      <w:rPr>
        <w:sz w:val="22"/>
      </w:rPr>
      <w:fldChar w:fldCharType="separate"/>
    </w:r>
    <w:r>
      <w:rPr>
        <w:sz w:val="22"/>
      </w:rPr>
      <w:t>EOL 1095182</w:t>
    </w:r>
    <w:r>
      <w:rPr>
        <w:sz w:val="22"/>
      </w:rPr>
      <w:fldChar w:fldCharType="end"/>
    </w:r>
  </w:p>
  <w:p>
    <w:pPr>
      <w:pStyle w:val="Header"/>
      <w:tabs>
        <w:tab w:val="center" w:pos="4320" w:leader="none"/>
        <w:tab w:val="left" w:pos="7380" w:leader="none"/>
        <w:tab w:val="right" w:pos="8640" w:leader="none"/>
      </w:tabs>
      <w:ind w:start="7380" w:end="0"/>
      <w:rPr>
        <w:rStyle w:val="PageNumber"/>
        <w:sz w:val="22"/>
      </w:rPr>
    </w:pPr>
    <w:r>
      <w:rPr>
        <w:sz w:val="22"/>
      </w:rPr>
      <w:t xml:space="preserve">Deal No. </w:t>
    </w:r>
    <w:r>
      <w:rPr>
        <w:sz w:val="22"/>
      </w:rPr>
      <w:fldChar w:fldCharType="begin"/>
    </w:r>
    <w:r>
      <w:rPr>
        <w:sz w:val="22"/>
      </w:rPr>
      <w:instrText xml:space="preserve"> TITLE </w:instrText>
    </w:r>
    <w:r>
      <w:rPr>
        <w:sz w:val="22"/>
      </w:rPr>
      <w:fldChar w:fldCharType="separate"/>
    </w:r>
    <w:r>
      <w:rPr>
        <w:sz w:val="22"/>
      </w:rPr>
      <w:t>572426.01</w:t>
    </w:r>
    <w:r>
      <w:rPr>
        <w:sz w:val="22"/>
      </w:rPr>
      <w:fldChar w:fldCharType="end"/>
    </w:r>
  </w:p>
  <w:p>
    <w:pPr>
      <w:pStyle w:val="Header"/>
      <w:tabs>
        <w:tab w:val="clear" w:pos="8640"/>
        <w:tab w:val="center" w:pos="4320" w:leader="none"/>
        <w:tab w:val="right" w:pos="7200" w:leader="none"/>
        <w:tab w:val="left" w:pos="7470" w:leader="none"/>
      </w:tabs>
      <w:rPr>
        <w:rStyle w:val="PageNumber"/>
        <w:rFonts w:ascii="Courier New" w:hAnsi="Courier New" w:cs="Courier New"/>
        <w:b/>
        <w:sz w:val="20"/>
      </w:rPr>
    </w:pPr>
    <w:r>
      <w:rPr/>
    </w:r>
  </w:p>
  <w:p>
    <w:pPr>
      <w:pStyle w:val="Header"/>
      <w:tabs>
        <w:tab w:val="clear" w:pos="8640"/>
        <w:tab w:val="center" w:pos="4320" w:leader="none"/>
        <w:tab w:val="right" w:pos="7200" w:leader="none"/>
        <w:tab w:val="left" w:pos="7470" w:leader="none"/>
      </w:tabs>
      <w:rPr>
        <w:rFonts w:ascii="Courier New" w:hAnsi="Courier New" w:cs="Courier New"/>
        <w:b/>
        <w:sz w:val="20"/>
      </w:rPr>
    </w:pPr>
    <w:r>
      <w:rPr>
        <w:rFonts w:eastAsia="Courier New" w:cs="Courier New" w:ascii="Courier New" w:hAnsi="Courier New"/>
        <w:b/>
        <w:sz w:val="20"/>
      </w:rPr>
      <w:t xml:space="preserve">  </w:t>
    </w:r>
    <w:r>
      <w:rPr>
        <w:rFonts w:cs="Courier New" w:ascii="Courier New" w:hAnsi="Courier New"/>
        <w:b/>
        <w:sz w:val="20"/>
      </w:rPr>
      <w:tab/>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Indent2">
    <w:name w:val="Body Text Indent 2"/>
    <w:basedOn w:val="Normal"/>
    <w:qFormat/>
    <w:pPr>
      <w:spacing w:before="120" w:after="0"/>
      <w:ind w:firstLine="1440" w:start="0" w:end="0"/>
      <w:jc w:val="both"/>
    </w:pPr>
    <w:rPr>
      <w:sz w:val="20"/>
    </w:rPr>
  </w:style>
  <w:style w:type="paragraph" w:styleId="BodyText3">
    <w:name w:val="Body Text 3"/>
    <w:basedOn w:val="Normal"/>
    <w:qFormat/>
    <w:pPr/>
    <w:rPr>
      <w:rFonts w:ascii="Arial Narrow" w:hAnsi="Arial Narrow" w:cs="Arial Narrow"/>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2001-07-02T15:31:00Z</dcterms:created>
  <dc:creator>EOL 1095182</dc:creator>
  <dc:description/>
  <dc:language>en-CA</dc:language>
  <cp:lastModifiedBy>Sharen Cason</cp:lastModifiedBy>
  <dcterms:modified xsi:type="dcterms:W3CDTF">2001-07-02T15:31:00Z</dcterms:modified>
  <cp:revision>2</cp:revision>
  <dc:subject/>
  <dc:title>572426.01</dc:title>
</cp:coreProperties>
</file>