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rPr>
          <w:b/>
        </w:rPr>
      </w:pPr>
      <w:r>
        <w:rPr>
          <w:b/>
        </w:rPr>
        <w:t>DRAFT 2/18/01</w:t>
      </w:r>
    </w:p>
    <w:p>
      <w:pPr>
        <w:pStyle w:val="Normal"/>
        <w:tabs>
          <w:tab w:val="clear" w:pos="720"/>
          <w:tab w:val="left" w:pos="990" w:leader="none"/>
        </w:tabs>
        <w:jc w:val="center"/>
        <w:rPr>
          <w:b/>
        </w:rPr>
      </w:pPr>
      <w:r>
        <w:rPr>
          <w:b/>
        </w:rPr>
      </w:r>
    </w:p>
    <w:p>
      <w:pPr>
        <w:pStyle w:val="Normal"/>
        <w:tabs>
          <w:tab w:val="clear" w:pos="720"/>
          <w:tab w:val="left" w:pos="990" w:leader="none"/>
        </w:tabs>
        <w:jc w:val="center"/>
        <w:rPr>
          <w:b/>
        </w:rPr>
      </w:pPr>
      <w:r>
        <w:rPr>
          <w:b/>
        </w:rPr>
        <w:t>Michigan Power Limited Partnership</w:t>
      </w:r>
    </w:p>
    <w:p>
      <w:pPr>
        <w:pStyle w:val="Normal"/>
        <w:tabs>
          <w:tab w:val="clear" w:pos="720"/>
          <w:tab w:val="left" w:pos="990" w:leader="none"/>
        </w:tabs>
        <w:jc w:val="center"/>
        <w:rPr>
          <w:b/>
        </w:rPr>
      </w:pPr>
      <w:r>
        <w:rPr>
          <w:b/>
        </w:rPr>
        <w:t>P.O. Box 4411</w:t>
      </w:r>
    </w:p>
    <w:p>
      <w:pPr>
        <w:pStyle w:val="Normal"/>
        <w:tabs>
          <w:tab w:val="clear" w:pos="720"/>
          <w:tab w:val="left" w:pos="990" w:leader="none"/>
        </w:tabs>
        <w:jc w:val="center"/>
        <w:rPr>
          <w:b/>
        </w:rPr>
      </w:pPr>
      <w:r>
        <w:rPr>
          <w:b/>
        </w:rPr>
        <w:t>Houston, Texas 77210</w:t>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pPr>
      <w:r>
        <w:rPr/>
        <w:t>Consumers Energy Company</w:t>
      </w:r>
    </w:p>
    <w:p>
      <w:pPr>
        <w:pStyle w:val="Normal"/>
        <w:tabs>
          <w:tab w:val="clear" w:pos="720"/>
          <w:tab w:val="left" w:pos="990" w:leader="none"/>
        </w:tabs>
        <w:rPr/>
      </w:pPr>
      <w:r>
        <w:rPr/>
        <w:t>212 West Michigan Avenue</w:t>
      </w:r>
    </w:p>
    <w:p>
      <w:pPr>
        <w:pStyle w:val="Normal"/>
        <w:tabs>
          <w:tab w:val="clear" w:pos="720"/>
          <w:tab w:val="left" w:pos="990" w:leader="none"/>
        </w:tabs>
        <w:rPr/>
      </w:pPr>
      <w:r>
        <w:rPr/>
        <w:t>Jackson, MI 49201</w:t>
      </w:r>
    </w:p>
    <w:p>
      <w:pPr>
        <w:pStyle w:val="Normal"/>
        <w:tabs>
          <w:tab w:val="clear" w:pos="720"/>
          <w:tab w:val="left" w:pos="990" w:leader="none"/>
        </w:tabs>
        <w:rPr/>
      </w:pPr>
      <w:r>
        <w:rPr/>
      </w:r>
    </w:p>
    <w:p>
      <w:pPr>
        <w:pStyle w:val="Normal"/>
        <w:tabs>
          <w:tab w:val="clear" w:pos="720"/>
          <w:tab w:val="left" w:pos="990" w:leader="none"/>
        </w:tabs>
        <w:rPr/>
      </w:pPr>
      <w:r>
        <w:rPr/>
        <w:t>Attention: Raymond E. McQuillan, Esq.</w:t>
      </w:r>
    </w:p>
    <w:p>
      <w:pPr>
        <w:pStyle w:val="Normal"/>
        <w:tabs>
          <w:tab w:val="clear" w:pos="720"/>
          <w:tab w:val="left" w:pos="990" w:leader="none"/>
        </w:tabs>
        <w:rPr/>
      </w:pPr>
      <w:r>
        <w:rPr/>
      </w:r>
    </w:p>
    <w:p>
      <w:pPr>
        <w:pStyle w:val="Normal"/>
        <w:tabs>
          <w:tab w:val="clear" w:pos="720"/>
          <w:tab w:val="left" w:pos="990" w:leader="none"/>
        </w:tabs>
        <w:rPr/>
      </w:pPr>
      <w:r>
        <w:rPr/>
        <w:t>Dear Sir:</w:t>
      </w:r>
    </w:p>
    <w:p>
      <w:pPr>
        <w:pStyle w:val="Normal"/>
        <w:tabs>
          <w:tab w:val="clear" w:pos="720"/>
          <w:tab w:val="left" w:pos="990" w:leader="none"/>
        </w:tabs>
        <w:rPr/>
      </w:pPr>
      <w:r>
        <w:rPr/>
      </w:r>
    </w:p>
    <w:p>
      <w:pPr>
        <w:pStyle w:val="Normal"/>
        <w:tabs>
          <w:tab w:val="clear" w:pos="720"/>
          <w:tab w:val="left" w:pos="990" w:leader="none"/>
        </w:tabs>
        <w:rPr/>
      </w:pPr>
      <w:r>
        <w:rPr/>
        <w:tab/>
        <w:t xml:space="preserve">We are in receipt of your letter dated February 5, 2001, asserting a claim by Consumers Energy Company ("CMS") for alleged overpayments of capacity charges to Michigan Power Limited Partnership ("MPLP") in respect of that certain Power Purchase Agreement between Consumers Power Company and MPLP, dated as of July 7, 1992, as amended (the "PPA").  Please be advised that MPLP strongly disagrees with the position stated in your letter; namely, that the PPA calls for changes to the capacity charges to become effective on each anniversary of the commercial operation date of October 1, 1995 ("COD"), rather than on a calendar year basis.  </w:t>
      </w:r>
    </w:p>
    <w:p>
      <w:pPr>
        <w:pStyle w:val="Normal"/>
        <w:tabs>
          <w:tab w:val="clear" w:pos="720"/>
          <w:tab w:val="left" w:pos="990" w:leader="none"/>
        </w:tabs>
        <w:rPr/>
      </w:pPr>
      <w:r>
        <w:rPr/>
      </w:r>
    </w:p>
    <w:p>
      <w:pPr>
        <w:pStyle w:val="Normal"/>
        <w:tabs>
          <w:tab w:val="clear" w:pos="720"/>
          <w:tab w:val="left" w:pos="990" w:leader="none"/>
        </w:tabs>
        <w:rPr/>
      </w:pPr>
      <w:r>
        <w:rPr/>
        <w:tab/>
        <w:t>Contrary to the position set forth in your letter, Section 10(a) of the PPA simply provides for the commencement of the payment of capacity charges on the COD; it does not provide that changes to the stated capacity charges become effective on each anniversary of the COD.  Indeed, the PPA provides for a number of calendar year based calculations that specifically tie into adjustments to the stated capacity charges effective January 1 of each year during the term.  For example, Section 10(a) clearly requires that any adjustments to the capacity charges on account of the plant failing to achieve the minimum capacity factor threshold in a calendar year shall be determined and shall become effective on January 1 of the next calendar year.  That section provides, in relevant part, that:</w:t>
      </w:r>
    </w:p>
    <w:p>
      <w:pPr>
        <w:pStyle w:val="Normal"/>
        <w:tabs>
          <w:tab w:val="clear" w:pos="720"/>
          <w:tab w:val="left" w:pos="990" w:leader="none"/>
        </w:tabs>
        <w:rPr/>
      </w:pPr>
      <w:r>
        <w:rPr/>
      </w:r>
    </w:p>
    <w:p>
      <w:pPr>
        <w:pStyle w:val="Normal"/>
        <w:tabs>
          <w:tab w:val="clear" w:pos="720"/>
          <w:tab w:val="left" w:pos="990" w:leader="none"/>
        </w:tabs>
        <w:ind w:start="720" w:end="0"/>
        <w:rPr/>
      </w:pPr>
      <w:r>
        <w:rPr/>
        <w:t xml:space="preserve">"[i]f for any calendar year, beginning with the second calendar year after the calendar year during which the [COD] occurs, the Contract Capacity Factor is less than .60, then the capacity charges stated in the first paragraph of this Subsection 10(a) [which provides for such payments to begin on the COD] shall be adjusted </w:t>
      </w:r>
      <w:r>
        <w:rPr>
          <w:i/>
        </w:rPr>
        <w:t>for the next calendar year</w:t>
      </w:r>
      <w:r>
        <w:rPr/>
        <w:t xml:space="preserve"> as follows: A capacity charge adjustment factor shall be determined by dividing such Contract Capacity Factor by 0.75.  The capacity charges </w:t>
      </w:r>
      <w:r>
        <w:rPr>
          <w:i/>
        </w:rPr>
        <w:t>for the following calendar year</w:t>
      </w:r>
      <w:r>
        <w:rPr/>
        <w:t xml:space="preserve"> shall then be determined by multiplying…. (Emphasis added).</w:t>
      </w:r>
    </w:p>
    <w:p>
      <w:pPr>
        <w:pStyle w:val="Normal"/>
        <w:tabs>
          <w:tab w:val="clear" w:pos="720"/>
          <w:tab w:val="left" w:pos="990" w:leader="none"/>
        </w:tabs>
        <w:ind w:start="720" w:end="0"/>
        <w:rPr/>
      </w:pPr>
      <w:r>
        <w:rPr/>
      </w:r>
    </w:p>
    <w:p>
      <w:pPr>
        <w:pStyle w:val="Normal"/>
        <w:tabs>
          <w:tab w:val="clear" w:pos="720"/>
          <w:tab w:val="left" w:pos="990" w:leader="none"/>
        </w:tabs>
        <w:rPr/>
      </w:pPr>
      <w:r>
        <w:rPr/>
        <w:tab/>
        <w:t xml:space="preserve">Since the COD in October of 1995, CMS has consistently applied the adjustments to the stated capacity adjustments on a calendar year basis.  Of particular note in this regard is that pursuant to Section 20 of the PPA, CMS "self bills" itself the amount that CMS owes MPLP for power delivered to CMS each month and, thus, it is CMS in the first instance that is charged with making the requisite calculations under the PPA.  We find it ironic and more than disingenuous that CMS suddenly has now determined that the parties' mutual understanding and intent (as represented by their course of dealing over more than 5 years) concerning the meaning and application of the provisions of the PPA has been in error, without furnishing MPLP with any explanation for its sudden change of view.  </w:t>
      </w:r>
    </w:p>
    <w:p>
      <w:pPr>
        <w:pStyle w:val="Normal"/>
        <w:tabs>
          <w:tab w:val="clear" w:pos="720"/>
          <w:tab w:val="left" w:pos="990" w:leader="none"/>
        </w:tabs>
        <w:rPr/>
      </w:pPr>
      <w:r>
        <w:rPr/>
      </w:r>
    </w:p>
    <w:p>
      <w:pPr>
        <w:pStyle w:val="Normal"/>
        <w:tabs>
          <w:tab w:val="clear" w:pos="720"/>
          <w:tab w:val="left" w:pos="990" w:leader="none"/>
        </w:tabs>
        <w:rPr/>
      </w:pPr>
      <w:r>
        <w:rPr/>
        <w:tab/>
        <w:t>[Not only is CMS's position not supported by the contract language, but its interpretation would create an illogical result.  Essentially, under the new CMS contract interpretation, the stated capacity charges would be effective from October 1 through September 30 of the following year, but the requisite adjustments thereto (for example, on account of the plant's calendar year Contract Capacity Factor) would be made mid-stream, i.e., 3 months into the applicable year of the contract term.  This is a tortured and unsupported reading of the PPA].</w:t>
      </w:r>
    </w:p>
    <w:p>
      <w:pPr>
        <w:pStyle w:val="Normal"/>
        <w:tabs>
          <w:tab w:val="clear" w:pos="720"/>
          <w:tab w:val="left" w:pos="990" w:leader="none"/>
        </w:tabs>
        <w:rPr/>
      </w:pPr>
      <w:r>
        <w:rPr/>
      </w:r>
    </w:p>
    <w:p>
      <w:pPr>
        <w:pStyle w:val="Normal"/>
        <w:tabs>
          <w:tab w:val="clear" w:pos="720"/>
          <w:tab w:val="left" w:pos="990" w:leader="none"/>
        </w:tabs>
        <w:rPr/>
      </w:pPr>
      <w:r>
        <w:rPr/>
        <w:tab/>
        <w:t>Please be advised that MPLP reserves all of its rights and remedies under the PPA, including its entitlement to the timely payment of any and all capacity charges to which it is entitled pursuant to Exhibit D of the PPA.  If you have any questions on the foregoing, please contact the undersigned at (   ) ________.</w:t>
      </w:r>
    </w:p>
    <w:p>
      <w:pPr>
        <w:pStyle w:val="Normal"/>
        <w:tabs>
          <w:tab w:val="clear" w:pos="720"/>
          <w:tab w:val="left" w:pos="990" w:leader="none"/>
        </w:tabs>
        <w:rPr/>
      </w:pPr>
      <w:r>
        <w:rPr/>
      </w:r>
    </w:p>
    <w:p>
      <w:pPr>
        <w:pStyle w:val="Normal"/>
        <w:tabs>
          <w:tab w:val="clear" w:pos="720"/>
          <w:tab w:val="left" w:pos="990" w:leader="none"/>
        </w:tabs>
        <w:rPr/>
      </w:pPr>
      <w:r>
        <w:rPr/>
        <w:tab/>
        <w:tab/>
        <w:tab/>
        <w:tab/>
        <w:tab/>
        <w:tab/>
        <w:t>Very truly yours,</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ab/>
        <w:tab/>
        <w:tab/>
        <w:tab/>
        <w:tab/>
        <w:tab/>
        <w:t>_______________</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David W. Joos, President</w:t>
      </w:r>
    </w:p>
    <w:p>
      <w:pPr>
        <w:pStyle w:val="Normal"/>
        <w:tabs>
          <w:tab w:val="clear" w:pos="720"/>
          <w:tab w:val="left" w:pos="990" w:leader="none"/>
        </w:tabs>
        <w:rPr/>
      </w:pPr>
      <w:r>
        <w:rPr/>
        <w:t>Consumers Energy Company</w:t>
      </w:r>
    </w:p>
    <w:p>
      <w:pPr>
        <w:pStyle w:val="Normal"/>
        <w:tabs>
          <w:tab w:val="clear" w:pos="720"/>
          <w:tab w:val="left" w:pos="990" w:leader="none"/>
        </w:tabs>
        <w:rPr/>
      </w:pPr>
      <w:r>
        <w:rPr/>
        <w:t>212 West Michigan Avenue</w:t>
      </w:r>
    </w:p>
    <w:p>
      <w:pPr>
        <w:pStyle w:val="Normal"/>
        <w:tabs>
          <w:tab w:val="clear" w:pos="720"/>
          <w:tab w:val="left" w:pos="990" w:leader="none"/>
        </w:tabs>
        <w:rPr/>
      </w:pPr>
      <w:r>
        <w:rPr/>
        <w:t>Jackson, MI 49201</w:t>
      </w:r>
    </w:p>
    <w:p>
      <w:pPr>
        <w:pStyle w:val="Normal"/>
        <w:tabs>
          <w:tab w:val="clear" w:pos="720"/>
          <w:tab w:val="left" w:pos="990" w:leader="none"/>
        </w:tabs>
        <w:rPr/>
      </w:pPr>
      <w:r>
        <w:rPr/>
      </w:r>
    </w:p>
    <w:p>
      <w:pPr>
        <w:pStyle w:val="Normal"/>
        <w:tabs>
          <w:tab w:val="clear" w:pos="720"/>
          <w:tab w:val="left" w:pos="990" w:leader="none"/>
        </w:tabs>
        <w:rPr/>
      </w:pPr>
      <w:r>
        <w:rPr/>
        <w:t>Consumers Power Company</w:t>
      </w:r>
    </w:p>
    <w:p>
      <w:pPr>
        <w:pStyle w:val="Normal"/>
        <w:tabs>
          <w:tab w:val="clear" w:pos="720"/>
          <w:tab w:val="left" w:pos="990" w:leader="none"/>
        </w:tabs>
        <w:rPr/>
      </w:pPr>
      <w:r>
        <w:rPr/>
        <w:t>1945 W. Parnall Road</w:t>
      </w:r>
    </w:p>
    <w:p>
      <w:pPr>
        <w:pStyle w:val="Normal"/>
        <w:tabs>
          <w:tab w:val="clear" w:pos="720"/>
          <w:tab w:val="left" w:pos="990" w:leader="none"/>
        </w:tabs>
        <w:rPr/>
      </w:pPr>
      <w:r>
        <w:rPr/>
        <w:t>Jackson, MI 49201</w:t>
      </w:r>
    </w:p>
    <w:p>
      <w:pPr>
        <w:pStyle w:val="Normal"/>
        <w:tabs>
          <w:tab w:val="clear" w:pos="720"/>
          <w:tab w:val="left" w:pos="990" w:leader="none"/>
        </w:tabs>
        <w:rPr/>
      </w:pPr>
      <w:r>
        <w:rPr/>
        <w:t>Attention: David M. Zwitter</w:t>
      </w:r>
    </w:p>
    <w:p>
      <w:pPr>
        <w:pStyle w:val="Normal"/>
        <w:tabs>
          <w:tab w:val="clear" w:pos="720"/>
          <w:tab w:val="left" w:pos="990" w:leader="none"/>
        </w:tabs>
        <w:rPr/>
      </w:pPr>
      <w:r>
        <w:rPr/>
        <w:t>Wholesale Power Transactions &amp;</w:t>
      </w:r>
    </w:p>
    <w:p>
      <w:pPr>
        <w:pStyle w:val="Normal"/>
        <w:tabs>
          <w:tab w:val="clear" w:pos="720"/>
          <w:tab w:val="left" w:pos="990" w:leader="none"/>
        </w:tabs>
        <w:rPr/>
      </w:pPr>
      <w:r>
        <w:rPr/>
        <w:t xml:space="preserve"> </w:t>
      </w:r>
      <w:r>
        <w:rPr/>
        <w:t>Planning Department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2001-02-17T22:54:00Z</dcterms:created>
  <dc:creator>LeBoeuf, Lamb, Greene &amp; MacRae, L.L.P.</dc:creator>
  <dc:description/>
  <dc:language>en-CA</dc:language>
  <cp:lastModifiedBy>LeBoeuf, Lamb, Greene &amp; MacRae, L.L.P.</cp:lastModifiedBy>
  <dcterms:modified xsi:type="dcterms:W3CDTF">2001-02-18T17:31:00Z</dcterms:modified>
  <cp:revision>30</cp:revision>
  <dc:subject/>
  <dc:title>Heading 1</dc:title>
</cp:coreProperties>
</file>