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pPr>
      <w:r>
        <w:rPr>
          <w:b/>
          <w:smallCaps/>
          <w:spacing w:val="-2"/>
        </w:rPr>
        <w:t>This Non-Disclosure Agreement</w:t>
      </w:r>
      <w:r>
        <w:rPr>
          <w:spacing w:val="-2"/>
        </w:rPr>
        <w:t xml:space="preserve"> (the “Agreement”) dated </w:t>
      </w:r>
      <w:r>
        <w:rPr>
          <w:b/>
          <w:spacing w:val="-2"/>
        </w:rPr>
        <w:t xml:space="preserve">April 6, 2001 is entered into by and </w:t>
      </w:r>
      <w:r>
        <w:rPr>
          <w:spacing w:val="-2"/>
        </w:rPr>
        <w:t xml:space="preserve"> between the parties signing below and governs the disclosure of Confidential Information (as hereinafter defined).</w:t>
      </w:r>
    </w:p>
    <w:p>
      <w:pPr>
        <w:pStyle w:val="BodyText"/>
        <w:numPr>
          <w:ilvl w:val="0"/>
          <w:numId w:val="1"/>
        </w:numPr>
        <w:tabs>
          <w:tab w:val="left" w:pos="720" w:leader="none"/>
        </w:tabs>
        <w:spacing w:before="0" w:after="240"/>
        <w:rPr>
          <w:spacing w:val="-2"/>
        </w:rPr>
      </w:pPr>
      <w:r>
        <w:rPr>
          <w:b/>
          <w:spacing w:val="-2"/>
        </w:rPr>
        <w:t xml:space="preserve">Disclosure of </w:t>
      </w:r>
      <w:r>
        <w:rPr>
          <w:b/>
        </w:rPr>
        <w:t>Confidential</w:t>
      </w:r>
      <w:r>
        <w:rPr>
          <w:b/>
          <w:spacing w:val="-2"/>
        </w:rPr>
        <w:t xml:space="preserve"> Information. Each party shall disclose (the “Disclosing Party”) to the other party (the “Receiving Party”) </w:t>
      </w:r>
      <w:r>
        <w:rPr>
          <w:spacing w:val="-2"/>
        </w:rPr>
        <w:t xml:space="preserve"> certain Confidential Information in connection with business and technical discussions related to determining the compatibility of certain features of Sabre’s Air Pricing application with certain features of Enron Net Work’s current commodity trading exchange application (“Purpose”).  THE </w:t>
      </w:r>
      <w:r>
        <w:rPr/>
        <w:t>DISCLOSING PARTY PROVIDES ALL CONFIDENTIAL INFORMATION SOLELY ON AN “AS IS” BASIS WITHOUT WARRANTIES, EITHER EXPRESS OR IMPLIED, INCLUDING, BUT NOT LIMITED TO, ANY WARRANTY OF MERCHANTABILITY.</w:t>
      </w:r>
    </w:p>
    <w:p>
      <w:pPr>
        <w:pStyle w:val="BodyText"/>
        <w:numPr>
          <w:ilvl w:val="0"/>
          <w:numId w:val="1"/>
        </w:numPr>
        <w:tabs>
          <w:tab w:val="left" w:pos="720" w:leader="none"/>
        </w:tabs>
        <w:spacing w:before="0" w:after="240"/>
        <w:rPr/>
      </w:pPr>
      <w:r>
        <w:rPr>
          <w:b/>
        </w:rPr>
        <w:t xml:space="preserve">Confidential Information.  </w:t>
      </w:r>
      <w:r>
        <w:rPr/>
        <w:t>"Confidential Information" means any and all information disclosed by the Disclosing Party to the Receiving Party, including without limitation (i) patent and patent applications, (ii) trade secrets, (iii) copyrighted information, (iv) business and technical information relating to each of the party’s proprietary electronic application products, and (vi) other proprietary information.  Any written document or other tangible material will be appropriately marked by the Disclosing Party to indicate whether it contains Confidential Information. At the time of disclosing information other than in a written document or other tangible material, the Disclosing Party will inform the Receiving Party about the confidential nature of any Confidential Information disclosed.</w:t>
      </w:r>
    </w:p>
    <w:p>
      <w:pPr>
        <w:pStyle w:val="BodyText"/>
        <w:numPr>
          <w:ilvl w:val="0"/>
          <w:numId w:val="1"/>
        </w:numPr>
        <w:tabs>
          <w:tab w:val="left" w:pos="720" w:leader="none"/>
        </w:tabs>
        <w:spacing w:before="0" w:after="240"/>
        <w:rPr/>
      </w:pPr>
      <w:r>
        <w:rPr>
          <w:b/>
        </w:rPr>
        <w:t>Exclusions</w:t>
      </w:r>
      <w:r>
        <w:rPr/>
        <w:t>.  “Confidential Information” excludes information that: (i) was in the public domain when communicated to the Receiving Party; (ii) enters the public domain through no fault of the Receiving Party; (iii) was in the Receiving Party’s possession free of any obligation of confidence when communicated to the Receiving Party; (iv) is rightfully communicated to the Receiving Party by a third party free of any obligation of confidence to the Disclosing Party; or (v) is developed by or on behalf of the Receiving Party independently of and without reference to any of the Disclosing Party’s Confidential Information as reflected in the books and records of the Receiving Party.</w:t>
      </w:r>
    </w:p>
    <w:p>
      <w:pPr>
        <w:pStyle w:val="BodyText"/>
        <w:numPr>
          <w:ilvl w:val="0"/>
          <w:numId w:val="1"/>
        </w:numPr>
        <w:tabs>
          <w:tab w:val="left" w:pos="720" w:leader="none"/>
        </w:tabs>
        <w:spacing w:before="0" w:after="240"/>
        <w:rPr/>
      </w:pPr>
      <w:r>
        <w:rPr>
          <w:b/>
        </w:rPr>
        <w:t xml:space="preserve">General Obligations.  </w:t>
      </w:r>
      <w:r>
        <w:rPr/>
        <w:t>The Receiving Party will use the Disclosing Party’s Confidential Information only for the Purpose.  The Receiving Party will hold the Disclosing Party’s Confidential Information in strict confidence and protect the Disclosing Party’s Confidential Information from disclosure using the same care the Receiving Party uses to protect its own confidential information of like importance, but not less than reasonable care.  The Receiving Party will permit access only to its and its affiliates’ directors, employees/contractors and advisors who need to know the Confidential Information in connection with the Purpose and who are advised of and agree to comply with the obligations in this Agreement.  The Receiving Party is responsible and liable for acts and omissions of such persons in respect of the Confidential Information.  The Receiving Party may copy the Disclosing Party’s Confidential information only as necessary for the Purpose and any reproduction must contain any and all notices or legends that appear on or in the original.  All other rights in the Confidential Information are reserved by the Disclosing Party.</w:t>
      </w:r>
    </w:p>
    <w:p>
      <w:pPr>
        <w:pStyle w:val="BodyText"/>
        <w:numPr>
          <w:ilvl w:val="0"/>
          <w:numId w:val="1"/>
        </w:numPr>
        <w:tabs>
          <w:tab w:val="left" w:pos="720" w:leader="none"/>
        </w:tabs>
        <w:spacing w:before="0" w:after="240"/>
        <w:rPr/>
      </w:pPr>
      <w:r>
        <w:rPr>
          <w:b/>
        </w:rPr>
        <w:t>Obligations for Technical Information.</w:t>
      </w:r>
      <w:r>
        <w:rPr/>
        <w:t xml:space="preserve"> The Receiving Party will not modify, disassemble, reverse engineer, decompile, or create other works from any of the Disclosing Party’s software.  The Receiving Party will not export, directly or indirectly, any technical information acquired from the Disclosing Party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1"/>
        </w:numPr>
        <w:tabs>
          <w:tab w:val="left" w:pos="720" w:leader="none"/>
        </w:tabs>
        <w:spacing w:before="0" w:after="240"/>
        <w:rPr/>
      </w:pPr>
      <w:r>
        <w:rPr>
          <w:b/>
        </w:rPr>
        <w:t>Exception to Confidentiality Obligation</w:t>
      </w:r>
      <w:r>
        <w:rPr/>
        <w:t>.  The Receiving Party may disclose the Disclosing Party’s Confidential Information as required by law or governmental authority, including pursuant to a subpoena or court order.  The Receiving Party shall use reasonable efforts to: (i) promptly notify the Disclosing Party of the disclosure requirement; (ii) cooperate with the Disclosing Party’s reasonable efforts to resist or narrow the disclosure and to obtain an order or other reliable assurance that confidential treatment will be accorded the Disclosing Party’s Confidential Information; and (iii) if disclosure is required prior to the Disclosing Party obtaining the relief sought in (ii), furnish only that portion of the Confidential Information that the Receiving Party is legally compelled to disclose according to advice of its legal counsel.</w:t>
      </w:r>
    </w:p>
    <w:p>
      <w:pPr>
        <w:pStyle w:val="BodyText"/>
        <w:numPr>
          <w:ilvl w:val="0"/>
          <w:numId w:val="1"/>
        </w:numPr>
        <w:tabs>
          <w:tab w:val="left" w:pos="720" w:leader="none"/>
        </w:tabs>
        <w:spacing w:before="0" w:after="240"/>
        <w:rPr/>
      </w:pPr>
      <w:r>
        <w:rPr>
          <w:b/>
        </w:rPr>
        <w:t>Term</w:t>
      </w:r>
      <w:r>
        <w:rPr/>
        <w:t xml:space="preserve">.  This Agreement shall terminate upon the earlier to occur of (i) two (2) years after the date first written in this Agreement or (ii) by one party providing the other party no less than thirty (30) days written notice of its intention to terminate this Agreement. </w:t>
      </w:r>
    </w:p>
    <w:p>
      <w:pPr>
        <w:pStyle w:val="BodyText"/>
        <w:numPr>
          <w:ilvl w:val="0"/>
          <w:numId w:val="1"/>
        </w:numPr>
        <w:tabs>
          <w:tab w:val="left" w:pos="720" w:leader="none"/>
        </w:tabs>
        <w:spacing w:before="0" w:after="240"/>
        <w:rPr/>
      </w:pPr>
      <w:r>
        <w:rPr>
          <w:b/>
        </w:rPr>
        <w:t>Effect of Termination.</w:t>
      </w:r>
      <w:r>
        <w:rPr/>
        <w:t xml:space="preserve">  Notwithstanding any expiration or termination of this Agreement, the obligations in Sections 4 and 5 shall survive and continue in full force and effect, subject to the provisions of Section 3 of this Agreement: (a) for two (2) years after disclosure with respect to non-technical Confidential Information, and (b) indefinitely with respect to technical Confidential Information.  Upon termination or expiration of this Agreement, or upon the Disclosing Party’s written request, the Receiving Party will promptly, either destroy all of the Disclosing Party’s Confidential Information in its possession, including all copies and compilations thereof, whether on computer storage devices or otherwise, and provide an officer’s certificate confirming its destruction, or, if requested by the Disclosing Party, return all of the Disclosing Party’s Confidential Information, including all copies and compilations thereof; provided, however, the Receiving Party shall be entitled to retain one copy of all compilations or other evaluation materials developed by the Receiving Party (or those who were authorized on its behalf) in relation to the Purposes, subject to the continuation of the obligations in Sections 4 and 5.</w:t>
      </w:r>
    </w:p>
    <w:p>
      <w:pPr>
        <w:pStyle w:val="BodyText"/>
        <w:numPr>
          <w:ilvl w:val="0"/>
          <w:numId w:val="1"/>
        </w:numPr>
        <w:tabs>
          <w:tab w:val="left" w:pos="720" w:leader="none"/>
        </w:tabs>
        <w:spacing w:before="0" w:after="240"/>
        <w:rPr/>
      </w:pPr>
      <w:r>
        <w:rPr>
          <w:b/>
        </w:rPr>
        <w:t>Equitable Remedies</w:t>
      </w:r>
      <w:r>
        <w:rPr/>
        <w:t>. The Receiving Party acknowledges that the Disclosing Party’s Confidential Information may contain valuable trade secrets and that the Receiving Party’s breach of this Agreement may cause irreparable damage to the Disclosing Party for which the Disclosing Party will be entitled to obtain injunctive or other equitable relief as well as monetary damages.</w:t>
      </w:r>
    </w:p>
    <w:p>
      <w:pPr>
        <w:pStyle w:val="BodyText"/>
        <w:numPr>
          <w:ilvl w:val="0"/>
          <w:numId w:val="1"/>
        </w:numPr>
        <w:tabs>
          <w:tab w:val="left" w:pos="720" w:leader="none"/>
        </w:tabs>
        <w:spacing w:before="0" w:after="240"/>
        <w:rPr/>
      </w:pPr>
      <w:r>
        <w:rPr>
          <w:b/>
        </w:rPr>
        <w:t>Miscellaneous</w:t>
      </w:r>
      <w:r>
        <w:rPr/>
        <w:t>.  Each party represents and warrants to the other party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the Receiving Party, will not result in a breach of any obligation to any third party or infringe or otherwise violate any third party’s rights.  This Agreement shall be governed by, enforced under, and construed and interpreted in accordance with, the laws of Texas</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Neither party will assign or transfer any rights or obligations under this Agreement, including by operation of law, without the prior written consent of the other party.  This Agreement represents the complete and exclusive agreement regarding the disclosure of Confidential Information between the parties, and replaces any prior oral or written communications between the parties regarding Confidential Information.  This Agreement may be signed in multiple copies, each of which shall constitute the same instrument. Once completely executed, any reproduction of this Agreement made by reliable means shall be considered an original.</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SABRE INC.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b/>
              </w:rPr>
            </w:pPr>
            <w:r>
              <w:rPr>
                <w:b/>
              </w:rPr>
              <w:t>ENRON NET WORKS LLC</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 xml:space="preserve"> </w:t>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Address:   MD 1494</w:t>
            </w:r>
          </w:p>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4200 Buckingham Rd.</w:t>
            </w:r>
          </w:p>
          <w:p>
            <w:pPr>
              <w:pStyle w:val="Normal"/>
              <w:tabs>
                <w:tab w:val="clear" w:pos="720"/>
                <w:tab w:val="left" w:pos="-720" w:leader="none"/>
                <w:tab w:val="right" w:pos="4320" w:leader="none"/>
                <w:tab w:val="left" w:pos="5040" w:leader="none"/>
                <w:tab w:val="right" w:pos="9360" w:leader="none"/>
              </w:tabs>
              <w:suppressAutoHyphens w:val="true"/>
              <w:rPr/>
            </w:pPr>
            <w:r>
              <w:rPr/>
              <w:t>Fort Worth, Texas 76155</w:t>
            </w:r>
          </w:p>
          <w:p>
            <w:pPr>
              <w:pStyle w:val="Normal"/>
              <w:tabs>
                <w:tab w:val="clear" w:pos="720"/>
                <w:tab w:val="left" w:pos="-720" w:leader="none"/>
                <w:tab w:val="right" w:pos="4320" w:leader="none"/>
                <w:tab w:val="left" w:pos="5040" w:leader="none"/>
                <w:tab w:val="right" w:pos="9360" w:leader="none"/>
              </w:tabs>
              <w:suppressAutoHyphens w:val="true"/>
              <w:rPr/>
            </w:pPr>
            <w:r>
              <w:rPr/>
              <w:t>USA</w:t>
            </w:r>
          </w:p>
          <w:p>
            <w:pPr>
              <w:pStyle w:val="Normal"/>
              <w:tabs>
                <w:tab w:val="clear" w:pos="720"/>
                <w:tab w:val="left" w:pos="-720" w:leader="none"/>
                <w:tab w:val="right" w:pos="4320" w:leader="none"/>
                <w:tab w:val="left" w:pos="5040" w:leader="none"/>
                <w:tab w:val="right" w:pos="9360" w:leader="none"/>
              </w:tabs>
              <w:suppressAutoHyphens w:val="true"/>
              <w:rPr/>
            </w:pPr>
            <w:r>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pPr>
            <w:r>
              <w:rPr/>
              <w:t>1400 Smith Street</w:t>
            </w:r>
          </w:p>
          <w:p>
            <w:pPr>
              <w:pStyle w:val="Normal"/>
              <w:tabs>
                <w:tab w:val="clear" w:pos="720"/>
                <w:tab w:val="left" w:pos="-720" w:leader="none"/>
                <w:tab w:val="right" w:pos="4320" w:leader="none"/>
                <w:tab w:val="left" w:pos="5040" w:leader="none"/>
                <w:tab w:val="right" w:pos="9360" w:leader="none"/>
              </w:tabs>
              <w:suppressAutoHyphens w:val="true"/>
              <w:rPr/>
            </w:pPr>
            <w:r>
              <w:rPr/>
              <w:t>Houston, TX  77005</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Fax:  817-967-4756</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 xml:space="preserve">Fax: </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CONFIDENTIAL</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rFonts w:ascii="CG Times" w:hAnsi="CG Times" w:cs="CG 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 w:hAnsi="CG Times" w:cs="CG Times"/>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BodyText2">
    <w:name w:val="Body Text 2"/>
    <w:basedOn w:val="Normal"/>
    <w:qFormat/>
    <w:pPr>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2001-04-05T19:16:00Z</dcterms:created>
  <dc:creator>Brenda Crabtree</dc:creator>
  <dc:description/>
  <dc:language>en-CA</dc:language>
  <cp:lastModifiedBy>mgreenbe</cp:lastModifiedBy>
  <dcterms:modified xsi:type="dcterms:W3CDTF">2001-04-05T19:50:00Z</dcterms:modified>
  <cp:revision>4</cp:revision>
  <dc:subject/>
  <dc:title>NON-DISCLOSURE AGREEMENT</dc:title>
</cp:coreProperties>
</file>