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0"/>
        </w:rPr>
      </w:pPr>
      <w:r>
        <w:rPr>
          <w:sz w:val="20"/>
        </w:rPr>
        <w:t>CONFIDENTIALITY</w:t>
      </w:r>
    </w:p>
    <w:p>
      <w:pPr>
        <w:pStyle w:val="Normal"/>
        <w:tabs>
          <w:tab w:val="clear" w:pos="720"/>
          <w:tab w:val="center" w:pos="4680" w:leader="none"/>
        </w:tabs>
        <w:spacing w:before="0" w:after="120"/>
        <w:jc w:val="center"/>
        <w:rPr>
          <w:sz w:val="20"/>
        </w:rPr>
      </w:pPr>
      <w:r>
        <w:rPr>
          <w:sz w:val="20"/>
        </w:rPr>
        <w:t>AND</w:t>
      </w:r>
    </w:p>
    <w:p>
      <w:pPr>
        <w:pStyle w:val="Normal"/>
        <w:tabs>
          <w:tab w:val="clear" w:pos="720"/>
          <w:tab w:val="center" w:pos="4680" w:leader="none"/>
        </w:tabs>
        <w:spacing w:before="0" w:after="120"/>
        <w:jc w:val="center"/>
        <w:rPr>
          <w:sz w:val="20"/>
        </w:rPr>
      </w:pPr>
      <w:r>
        <w:rPr>
          <w:sz w:val="20"/>
        </w:rPr>
        <w:t>NON-DISCLOSURE AGREEMENT</w:t>
      </w:r>
    </w:p>
    <w:p>
      <w:pPr>
        <w:pStyle w:val="Normal"/>
        <w:tabs>
          <w:tab w:val="clear" w:pos="720"/>
          <w:tab w:val="center" w:pos="4680" w:leader="none"/>
        </w:tabs>
        <w:spacing w:before="0" w:after="120"/>
        <w:jc w:val="center"/>
        <w:rPr>
          <w:sz w:val="20"/>
        </w:rPr>
      </w:pPr>
      <w:r>
        <w:rPr>
          <w:sz w:val="20"/>
        </w:rPr>
      </w:r>
    </w:p>
    <w:p>
      <w:pPr>
        <w:pStyle w:val="BodyText"/>
        <w:rPr/>
      </w:pPr>
      <w:r>
        <w:rPr/>
        <w:t>THIS AGREEMENT is made as of May __, 2000 between Enron Broadband Services, Inc. (“EBS”), having its principal address at 1400 Smith Street, Houston, Texas, 77002 and Sabre Corporation (“Sabre”), having its principal address at 4255 Amon Carter Blvd., Fort Worth, Texas 76155-2603.  Throughout this Agreement EBS and Sabre are individually referred to as a “Party” and collectively as the “Parties.”</w:t>
      </w:r>
    </w:p>
    <w:p>
      <w:pPr>
        <w:pStyle w:val="Normal"/>
        <w:spacing w:lineRule="atLeast" w:line="240"/>
        <w:rPr>
          <w:sz w:val="20"/>
        </w:rPr>
      </w:pPr>
      <w:r>
        <w:rPr>
          <w:sz w:val="20"/>
        </w:rPr>
      </w:r>
    </w:p>
    <w:p>
      <w:pPr>
        <w:pStyle w:val="Normal"/>
        <w:spacing w:before="0" w:after="120"/>
        <w:ind w:firstLine="720" w:end="0"/>
        <w:jc w:val="both"/>
        <w:rPr/>
      </w:pPr>
      <w:r>
        <w:rPr>
          <w:sz w:val="20"/>
        </w:rPr>
        <w:t>EBS and Sabre are investigating the possibility of</w:t>
      </w:r>
      <w:r>
        <w:rPr>
          <w:b/>
          <w:sz w:val="20"/>
        </w:rPr>
        <w:t xml:space="preserve"> </w:t>
      </w:r>
      <w:r>
        <w:rPr>
          <w:sz w:val="20"/>
        </w:rPr>
        <w:t>entering into one or more transactions or business relationships (“Transaction”).</w:t>
      </w:r>
      <w:r>
        <w:rPr>
          <w:b/>
          <w:sz w:val="20"/>
        </w:rPr>
        <w:t xml:space="preserve">  </w:t>
      </w:r>
      <w:r>
        <w:rPr>
          <w:sz w:val="20"/>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Sabre has made a decision to enter into any Transaction and that either may elect, in its sole discretion, to not pursue any Transaction or to pursue a similar Transaction without the involvement of the other.</w:t>
      </w:r>
    </w:p>
    <w:p>
      <w:pPr>
        <w:pStyle w:val="BodyTextIndent"/>
        <w:widowControl/>
        <w:spacing w:before="0" w:after="120"/>
        <w:rPr>
          <w:sz w:val="20"/>
        </w:rPr>
      </w:pPr>
      <w:r>
        <w:rPr>
          <w:sz w:val="20"/>
        </w:rPr>
        <w:t>Each Party is willing to disclose confidential information to the other for the purposes set forth above, subject to the following conditions and limitations:</w:t>
      </w:r>
    </w:p>
    <w:p>
      <w:pPr>
        <w:pStyle w:val="Normal"/>
        <w:spacing w:before="0" w:after="120"/>
        <w:ind w:firstLine="720" w:end="0"/>
        <w:jc w:val="both"/>
        <w:rPr>
          <w:sz w:val="20"/>
        </w:rPr>
      </w:pPr>
      <w:r>
        <w:rPr>
          <w:sz w:val="20"/>
        </w:rPr>
        <w:t>1.</w:t>
        <w:tab/>
        <w:t>As used herein, “Confidential Information” means this Agreement and all oral and written non-public, confidential or proprietary information concerning the possible Transaction or concerning EBS or Sabre, which either EBS or Sabre or any directors, officers, employees, representatives, advisors, contractors or agents (collectively, “Representatives”) of either EBS or Sabre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0"/>
        </w:rPr>
      </w:pPr>
      <w:r>
        <w:rPr>
          <w:sz w:val="20"/>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0"/>
        </w:rPr>
      </w:pPr>
      <w:r>
        <w:rPr>
          <w:sz w:val="20"/>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spacing w:before="0" w:after="120"/>
        <w:ind w:firstLine="720" w:end="0"/>
        <w:jc w:val="both"/>
        <w:rPr>
          <w:sz w:val="20"/>
        </w:rPr>
      </w:pPr>
      <w:r>
        <w:rPr>
          <w:sz w:val="20"/>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spacing w:before="0" w:after="120"/>
        <w:ind w:firstLine="720" w:end="0"/>
        <w:jc w:val="both"/>
        <w:rPr>
          <w:sz w:val="20"/>
          <w:u w:val="single"/>
        </w:rPr>
      </w:pPr>
      <w:r>
        <w:rPr>
          <w:sz w:val="20"/>
        </w:rPr>
        <w:t>5.</w:t>
        <w:tab/>
        <w:t>Except as otherwise required by law, rules or regulations including rules or regulations of any securities exchange,</w:t>
      </w:r>
      <w:r>
        <w:rPr>
          <w:b/>
          <w:sz w:val="20"/>
        </w:rPr>
        <w:t xml:space="preserve"> </w:t>
      </w:r>
      <w:r>
        <w:rPr>
          <w:sz w:val="20"/>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spacing w:before="0" w:after="120"/>
        <w:ind w:firstLine="720" w:end="0"/>
        <w:jc w:val="both"/>
        <w:rPr>
          <w:sz w:val="20"/>
        </w:rPr>
      </w:pPr>
      <w:r>
        <w:rPr>
          <w:sz w:val="20"/>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Indent"/>
        <w:widowControl/>
        <w:spacing w:before="0" w:after="120"/>
        <w:rPr>
          <w:sz w:val="20"/>
        </w:rPr>
      </w:pPr>
      <w:r>
        <w:rPr>
          <w:sz w:val="20"/>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spacing w:before="0" w:after="120"/>
        <w:ind w:firstLine="720" w:end="0"/>
        <w:jc w:val="both"/>
        <w:rPr/>
      </w:pPr>
      <w:r>
        <w:rPr>
          <w:sz w:val="20"/>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0"/>
        </w:rPr>
        <w:t xml:space="preserve"> </w:t>
      </w:r>
      <w:r>
        <w:rPr>
          <w:sz w:val="20"/>
        </w:rPr>
        <w:t>possible Transaction</w:t>
      </w:r>
      <w:r>
        <w:rPr>
          <w:b/>
          <w:sz w:val="20"/>
        </w:rPr>
        <w:t xml:space="preserve"> </w:t>
      </w:r>
      <w:r>
        <w:rPr>
          <w:sz w:val="20"/>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spacing w:before="0" w:after="120"/>
        <w:ind w:firstLine="720" w:end="0"/>
        <w:jc w:val="both"/>
        <w:rPr>
          <w:sz w:val="20"/>
        </w:rPr>
      </w:pPr>
      <w:r>
        <w:rPr>
          <w:sz w:val="20"/>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spacing w:before="0" w:after="120"/>
        <w:ind w:firstLine="720" w:end="0"/>
        <w:jc w:val="both"/>
        <w:rPr>
          <w:sz w:val="20"/>
        </w:rPr>
      </w:pPr>
      <w:r>
        <w:rPr>
          <w:sz w:val="20"/>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BodyTextIndent"/>
        <w:widowControl/>
        <w:spacing w:before="0" w:after="120"/>
        <w:rPr>
          <w:sz w:val="20"/>
        </w:rPr>
      </w:pPr>
      <w:r>
        <w:rPr>
          <w:sz w:val="20"/>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0"/>
        </w:rPr>
      </w:pPr>
      <w:r>
        <w:rPr>
          <w:sz w:val="20"/>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Indent"/>
        <w:widowControl/>
        <w:spacing w:before="0" w:after="120"/>
        <w:rPr>
          <w:sz w:val="20"/>
        </w:rPr>
      </w:pPr>
      <w:r>
        <w:rPr>
          <w:sz w:val="20"/>
        </w:rPr>
        <w:t>13.</w:t>
        <w:tab/>
        <w:t>Unless extended by written agreement of the Parties, the confidentiality provisions of this Agreement shall expire two (2) years from the date hereof.</w:t>
      </w:r>
    </w:p>
    <w:p>
      <w:pPr>
        <w:pStyle w:val="BodyTextIndent"/>
        <w:widowControl/>
        <w:spacing w:before="0" w:after="120"/>
        <w:rPr>
          <w:sz w:val="20"/>
        </w:rPr>
      </w:pPr>
      <w:r>
        <w:rPr>
          <w:sz w:val="20"/>
        </w:rPr>
        <w:t>14.</w:t>
        <w:tab/>
        <w:t>This Agreement shall be governed by and construed under the laws of the State of Texas without regard to conflicts-of-laws rules or principles.</w:t>
      </w:r>
    </w:p>
    <w:p>
      <w:pPr>
        <w:pStyle w:val="Normal"/>
        <w:spacing w:before="0" w:after="120"/>
        <w:ind w:firstLine="720" w:end="0"/>
        <w:jc w:val="both"/>
        <w:rPr>
          <w:sz w:val="20"/>
        </w:rPr>
      </w:pPr>
      <w:r>
        <w:rPr>
          <w:sz w:val="20"/>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spacing w:before="0" w:after="120"/>
        <w:jc w:val="both"/>
        <w:rPr>
          <w:sz w:val="20"/>
        </w:rPr>
      </w:pPr>
      <w:r>
        <w:rPr>
          <w:sz w:val="20"/>
        </w:rPr>
      </w:r>
    </w:p>
    <w:p>
      <w:pPr>
        <w:pStyle w:val="BodyTextIndent2"/>
        <w:rPr/>
      </w:pPr>
      <w:r>
        <w:rPr/>
        <w:t>IN WITNESS WHEREOF, the Parties have executed this Agreement by and through their duly authorized representatives, as of the day first above written.</w:t>
      </w:r>
    </w:p>
    <w:p>
      <w:pPr>
        <w:pStyle w:val="Normal"/>
        <w:spacing w:before="0" w:after="120"/>
        <w:jc w:val="both"/>
        <w:rPr>
          <w:sz w:val="20"/>
        </w:rPr>
      </w:pPr>
      <w:r>
        <w:rPr>
          <w:sz w:val="20"/>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spacing w:before="0" w:after="120"/>
        <w:ind w:end="-720"/>
        <w:jc w:val="both"/>
        <w:rPr>
          <w:sz w:val="20"/>
        </w:rPr>
      </w:pPr>
      <w:r>
        <w:rPr>
          <w:sz w:val="20"/>
        </w:rPr>
      </w:r>
    </w:p>
    <w:p>
      <w:pPr>
        <w:pStyle w:val="Normal"/>
        <w:spacing w:before="0" w:after="120"/>
        <w:ind w:end="-720"/>
        <w:jc w:val="both"/>
        <w:rPr>
          <w:b/>
          <w:sz w:val="20"/>
          <w:vertAlign w:val="superscript"/>
        </w:rPr>
      </w:pPr>
      <w:r>
        <w:rPr>
          <w:b/>
          <w:sz w:val="20"/>
        </w:rPr>
        <w:t>Enron Broadband Services, Inc.</w:t>
      </w:r>
      <w:r>
        <w:rPr>
          <w:sz w:val="20"/>
        </w:rPr>
        <w:tab/>
        <w:tab/>
        <w:tab/>
        <w:tab/>
      </w:r>
      <w:r>
        <w:rPr>
          <w:b/>
          <w:sz w:val="20"/>
        </w:rPr>
        <w:t>Sabre Corporation</w:t>
      </w:r>
    </w:p>
    <w:p>
      <w:pPr>
        <w:pStyle w:val="Normal"/>
        <w:ind w:end="-720"/>
        <w:jc w:val="both"/>
        <w:rPr>
          <w:b/>
          <w:sz w:val="20"/>
          <w:vertAlign w:val="superscript"/>
        </w:rPr>
      </w:pPr>
      <w:r>
        <w:rPr>
          <w:b/>
          <w:sz w:val="20"/>
          <w:vertAlign w:val="superscript"/>
        </w:rPr>
      </w:r>
    </w:p>
    <w:p>
      <w:pPr>
        <w:pStyle w:val="Normal"/>
        <w:ind w:end="-720"/>
        <w:jc w:val="both"/>
        <w:rPr>
          <w:sz w:val="20"/>
        </w:rPr>
      </w:pPr>
      <w:r>
        <w:rPr>
          <w:sz w:val="20"/>
        </w:rPr>
      </w:r>
    </w:p>
    <w:p>
      <w:pPr>
        <w:pStyle w:val="Normal"/>
        <w:ind w:end="-720"/>
        <w:jc w:val="both"/>
        <w:rPr/>
      </w:pPr>
      <w:r>
        <w:rPr>
          <w:sz w:val="20"/>
        </w:rPr>
        <w:t xml:space="preserve">By: </w:t>
        <w:tab/>
      </w:r>
      <w:r>
        <w:rPr>
          <w:sz w:val="20"/>
          <w:u w:val="single"/>
        </w:rPr>
        <w:tab/>
        <w:tab/>
        <w:tab/>
        <w:tab/>
        <w:tab/>
      </w:r>
      <w:r>
        <w:rPr>
          <w:sz w:val="20"/>
        </w:rPr>
        <w:tab/>
        <w:t>By:</w:t>
        <w:tab/>
      </w:r>
      <w:r>
        <w:rPr>
          <w:sz w:val="20"/>
          <w:u w:val="single"/>
        </w:rPr>
        <w:tab/>
        <w:tab/>
        <w:tab/>
        <w:tab/>
        <w:tab/>
      </w:r>
    </w:p>
    <w:p>
      <w:pPr>
        <w:pStyle w:val="Normal"/>
        <w:ind w:firstLine="720" w:start="720" w:end="-720"/>
        <w:jc w:val="both"/>
        <w:rPr>
          <w:sz w:val="20"/>
          <w:vertAlign w:val="superscript"/>
        </w:rPr>
      </w:pPr>
      <w:r>
        <w:rPr>
          <w:sz w:val="20"/>
          <w:vertAlign w:val="superscript"/>
        </w:rPr>
        <w:t>(Signature)</w:t>
        <w:tab/>
        <w:tab/>
        <w:tab/>
        <w:tab/>
        <w:tab/>
        <w:tab/>
        <w:tab/>
        <w:t>(Signature)</w:t>
      </w:r>
    </w:p>
    <w:p>
      <w:pPr>
        <w:pStyle w:val="Normal"/>
        <w:ind w:end="-720"/>
        <w:jc w:val="both"/>
        <w:rPr/>
      </w:pPr>
      <w:r>
        <w:rPr>
          <w:sz w:val="20"/>
        </w:rPr>
        <w:t>Name:</w:t>
        <w:tab/>
      </w:r>
      <w:r>
        <w:rPr>
          <w:sz w:val="20"/>
          <w:u w:val="single"/>
        </w:rPr>
        <w:tab/>
        <w:tab/>
        <w:tab/>
        <w:tab/>
        <w:tab/>
      </w:r>
      <w:r>
        <w:rPr>
          <w:sz w:val="20"/>
        </w:rPr>
        <w:tab/>
        <w:t>Name:</w:t>
        <w:tab/>
      </w:r>
      <w:r>
        <w:rPr>
          <w:sz w:val="20"/>
          <w:u w:val="single"/>
        </w:rPr>
        <w:tab/>
        <w:tab/>
        <w:tab/>
        <w:tab/>
        <w:tab/>
      </w:r>
    </w:p>
    <w:p>
      <w:pPr>
        <w:pStyle w:val="Normal"/>
        <w:ind w:firstLine="720" w:start="720" w:end="-720"/>
        <w:jc w:val="both"/>
        <w:rPr>
          <w:sz w:val="20"/>
          <w:vertAlign w:val="superscript"/>
        </w:rPr>
      </w:pPr>
      <w:r>
        <w:rPr>
          <w:sz w:val="20"/>
          <w:vertAlign w:val="superscript"/>
        </w:rPr>
        <w:t>(Print Signer’s Name)</w:t>
        <w:tab/>
        <w:tab/>
        <w:tab/>
        <w:tab/>
        <w:tab/>
        <w:tab/>
        <w:t>(Print Signer’s Name)</w:t>
      </w:r>
    </w:p>
    <w:p>
      <w:pPr>
        <w:pStyle w:val="Normal"/>
        <w:ind w:end="-720"/>
        <w:jc w:val="both"/>
        <w:rPr/>
      </w:pPr>
      <w:r>
        <w:rPr>
          <w:sz w:val="20"/>
        </w:rPr>
        <w:t>Title:</w:t>
        <w:tab/>
      </w:r>
      <w:r>
        <w:rPr>
          <w:sz w:val="20"/>
          <w:u w:val="single"/>
        </w:rPr>
        <w:tab/>
        <w:tab/>
        <w:tab/>
        <w:tab/>
        <w:tab/>
      </w:r>
      <w:r>
        <w:rPr>
          <w:sz w:val="20"/>
        </w:rPr>
        <w:tab/>
        <w:t>Title:</w:t>
        <w:tab/>
      </w:r>
      <w:r>
        <w:rPr>
          <w:sz w:val="20"/>
          <w:u w:val="single"/>
        </w:rPr>
        <w:tab/>
        <w:tab/>
        <w:tab/>
        <w:tab/>
        <w:tab/>
      </w:r>
    </w:p>
    <w:p>
      <w:pPr>
        <w:pStyle w:val="Normal"/>
        <w:ind w:firstLine="720" w:start="720" w:end="-720"/>
        <w:jc w:val="both"/>
        <w:rPr>
          <w:sz w:val="20"/>
          <w:vertAlign w:val="superscript"/>
        </w:rPr>
      </w:pPr>
      <w:r>
        <w:rPr>
          <w:sz w:val="20"/>
          <w:vertAlign w:val="superscript"/>
        </w:rPr>
        <w:t>(Print Signer’s Title)</w:t>
        <w:tab/>
        <w:tab/>
        <w:tab/>
        <w:tab/>
        <w:tab/>
        <w:tab/>
        <w:t>(Print Signer’s Title)</w:t>
      </w:r>
    </w:p>
    <w:p>
      <w:pPr>
        <w:pStyle w:val="Normal"/>
        <w:spacing w:before="0" w:after="120"/>
        <w:jc w:val="both"/>
        <w:rPr>
          <w:sz w:val="20"/>
          <w:vertAlign w:val="superscript"/>
        </w:rPr>
      </w:pPr>
      <w:r>
        <w:rPr>
          <w:sz w:val="20"/>
          <w:vertAlign w:val="superscript"/>
        </w:rPr>
      </w:r>
    </w:p>
    <w:p>
      <w:pPr>
        <w:pStyle w:val="Normal"/>
        <w:spacing w:before="0" w:after="120"/>
        <w:jc w:val="both"/>
        <w:rPr>
          <w:sz w:val="20"/>
        </w:rPr>
      </w:pPr>
      <w:r>
        <w:rPr>
          <w:sz w:val="20"/>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spacing w:before="0" w:after="120"/>
        <w:jc w:val="both"/>
        <w:rPr>
          <w:sz w:val="20"/>
        </w:rPr>
      </w:pPr>
      <w:r>
        <w:rPr>
          <w:sz w:val="20"/>
        </w:rPr>
      </w:r>
    </w:p>
    <w:p>
      <w:pPr>
        <w:pStyle w:val="BodyText2"/>
        <w:spacing w:before="0" w:after="120"/>
        <w:rPr>
          <w:sz w:val="20"/>
        </w:rPr>
      </w:pPr>
      <w:r>
        <w:rPr>
          <w:sz w:val="20"/>
        </w:rPr>
        <w:t>TO BE EXECUTED IN DUPLICATE BY DULY AUTHORIZED REPRESENTATIVES OF BOTH PARTIES.</w:t>
      </w:r>
    </w:p>
    <w:p>
      <w:pPr>
        <w:pStyle w:val="Normal"/>
        <w:spacing w:before="0" w:after="120"/>
        <w:jc w:val="center"/>
        <w:rPr>
          <w:b/>
          <w:i/>
          <w:i/>
          <w:sz w:val="20"/>
        </w:rPr>
      </w:pPr>
      <w:r>
        <w:rPr>
          <w:b/>
          <w:i/>
          <w:sz w:val="20"/>
        </w:rPr>
      </w:r>
    </w:p>
    <w:p>
      <w:pPr>
        <w:pStyle w:val="Normal"/>
        <w:spacing w:before="0" w:after="120"/>
        <w:jc w:val="center"/>
        <w:rPr>
          <w:b/>
          <w:i/>
          <w:i/>
          <w:sz w:val="20"/>
        </w:rPr>
      </w:pPr>
      <w:r>
        <w:rPr>
          <w:b/>
          <w:i/>
          <w:sz w:val="20"/>
        </w:rPr>
        <w:t>AFTER EXECUTION, RETURN ONE EXECUTED ORIGINAL</w:t>
      </w:r>
    </w:p>
    <w:p>
      <w:pPr>
        <w:pStyle w:val="Normal"/>
        <w:spacing w:before="0" w:after="120"/>
        <w:jc w:val="center"/>
        <w:rPr>
          <w:b/>
          <w:i/>
          <w:i/>
          <w:sz w:val="20"/>
        </w:rPr>
      </w:pPr>
      <w:r>
        <w:rPr>
          <w:b/>
          <w:i/>
          <w:sz w:val="20"/>
        </w:rPr>
        <w:t>ATTENTION: ROBIN HILL, ENRON BROADBAND SERVICES, INC. LEGAL DEPT.</w:t>
      </w:r>
    </w:p>
    <w:p>
      <w:pPr>
        <w:pStyle w:val="Normal"/>
        <w:rPr>
          <w:b/>
          <w:i/>
          <w:i/>
          <w:sz w:val="20"/>
        </w:rPr>
      </w:pPr>
      <w:r>
        <w:rPr>
          <w:b/>
          <w:i/>
          <w:sz w:val="20"/>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o:\robinhill\ndas\sabre</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2000-03-15T18:27:00Z</dcterms:created>
  <dc:creator>cheryl_kondo</dc:creator>
  <dc:description/>
  <dc:language>en-CA</dc:language>
  <cp:lastModifiedBy>robin_hill</cp:lastModifiedBy>
  <cp:lastPrinted>2000-03-15T15:59:00Z</cp:lastPrinted>
  <dcterms:modified xsi:type="dcterms:W3CDTF">2000-05-02T19:49:00Z</dcterms:modified>
  <cp:revision>5</cp:revision>
  <dc:subject/>
  <dc:title>CONFIDENTIALITY</dc:title>
</cp:coreProperties>
</file>