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30" w:space="1" w:color="000000"/>
        </w:pBdr>
        <w:ind w:hanging="2430" w:start="2430" w:end="0"/>
        <w:jc w:val="center"/>
        <w:rPr>
          <w:rFonts w:ascii="Palatino" w:hAnsi="Palatino" w:eastAsia="Palatino" w:cs="Palatino"/>
          <w:sz w:val="32"/>
          <w:szCs w:val="32"/>
        </w:rPr>
      </w:pPr>
      <w:r>
        <w:rPr>
          <w:rFonts w:eastAsia="AvantGarde" w:cs="AvantGarde" w:ascii="AvantGarde" w:hAnsi="AvantGarde"/>
          <w:b/>
          <w:bCs/>
          <w:sz w:val="32"/>
          <w:szCs w:val="32"/>
        </w:rPr>
        <w:t>Richard Peyton George</w:t>
      </w:r>
    </w:p>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sectPr>
      </w:pPr>
    </w:p>
    <w:p>
      <w:pPr>
        <w:pStyle w:val="Normal"/>
        <w:spacing w:before="120" w:after="120"/>
        <w:ind w:hanging="2434" w:start="2434" w:end="0"/>
        <w:jc w:val="both"/>
        <w:rPr>
          <w:rFonts w:ascii="Antique Olive Roman" w:hAnsi="Antique Olive Roman" w:eastAsia="Antique Olive Roman" w:cs="Antique Olive Roman"/>
          <w:b/>
          <w:bCs/>
          <w:sz w:val="22"/>
          <w:szCs w:val="22"/>
        </w:rPr>
      </w:pPr>
      <w:r>
        <w:rPr>
          <w:rFonts w:eastAsia="Antique Olive Roman" w:cs="Antique Olive Roman" w:ascii="Antique Olive Roman" w:hAnsi="Antique Olive Roman"/>
          <w:b/>
          <w:bCs/>
          <w:sz w:val="22"/>
          <w:szCs w:val="22"/>
        </w:rPr>
        <w:t>Contact Information:</w:t>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t>1601 Chapel Hill Drive</w:t>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t>Alexandria, Virginia 22304</w:t>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t>rgeorge@cfmodeling.com</w:t>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t>(703) 370-0015</w:t>
      </w:r>
    </w:p>
    <w:p>
      <w:pPr>
        <w:pStyle w:val="Normal"/>
        <w:ind w:hanging="2430" w:start="2430" w:end="0"/>
        <w:jc w:val="both"/>
        <w:rPr>
          <w:sz w:val="22"/>
          <w:szCs w:val="22"/>
        </w:rPr>
      </w:pPr>
      <w:r>
        <w:rPr>
          <w:rFonts w:eastAsia="Palatino" w:cs="Palatino" w:ascii="Palatino" w:hAnsi="Palatino"/>
          <w:sz w:val="22"/>
          <w:szCs w:val="22"/>
        </w:rPr>
        <w:t>(703) 370-4134 Fax</w:t>
      </w:r>
    </w:p>
    <w:p>
      <w:pPr>
        <w:pStyle w:val="Normal"/>
        <w:ind w:hanging="2430" w:start="2430" w:end="0"/>
        <w:jc w:val="both"/>
        <w:rPr>
          <w:rFonts w:ascii="Palatino" w:hAnsi="Palatino" w:eastAsia="Palatino" w:cs="Palatino"/>
          <w:sz w:val="22"/>
          <w:szCs w:val="22"/>
        </w:rPr>
      </w:pPr>
      <w:r>
        <w:rPr>
          <w:rFonts w:eastAsia="Palatino" w:cs="Palatino" w:ascii="Palatino" w:hAnsi="Palatino"/>
          <w:sz w:val="22"/>
          <w:szCs w:val="22"/>
        </w:rPr>
      </w:r>
    </w:p>
    <w:p>
      <w:pPr>
        <w:sectPr>
          <w:type w:val="continuous"/>
          <w:pgSz w:w="12240" w:h="15840"/>
          <w:pgMar w:left="1440" w:right="1440" w:gutter="0" w:header="720" w:top="1440" w:footer="0" w:bottom="1440"/>
          <w:cols w:num="2" w:space="708" w:equalWidth="true" w:sep="false"/>
          <w:formProt w:val="false"/>
          <w:titlePg/>
          <w:textDirection w:val="lrTb"/>
        </w:sectPr>
      </w:pPr>
    </w:p>
    <w:p>
      <w:pPr>
        <w:pStyle w:val="Normal"/>
        <w:spacing w:before="0" w:after="120"/>
        <w:jc w:val="both"/>
        <w:rPr>
          <w:rFonts w:ascii="Antique Olive Roman" w:hAnsi="Antique Olive Roman" w:eastAsia="Antique Olive Roman" w:cs="Antique Olive Roman"/>
          <w:sz w:val="22"/>
          <w:szCs w:val="22"/>
        </w:rPr>
      </w:pPr>
      <w:r>
        <w:rPr>
          <w:rFonts w:eastAsia="Antique Olive Roman" w:cs="Antique Olive Roman" w:ascii="Antique Olive Roman" w:hAnsi="Antique Olive Roman"/>
          <w:b/>
          <w:bCs/>
          <w:sz w:val="22"/>
          <w:szCs w:val="22"/>
        </w:rPr>
        <w:t>Experience:</w:t>
      </w:r>
    </w:p>
    <w:p>
      <w:pPr>
        <w:pStyle w:val="Normal"/>
        <w:jc w:val="both"/>
        <w:rPr>
          <w:rFonts w:ascii="Palatino" w:hAnsi="Palatino" w:eastAsia="Palatino" w:cs="Palatino"/>
          <w:color w:val="FF0000"/>
          <w:sz w:val="22"/>
          <w:szCs w:val="22"/>
        </w:rPr>
      </w:pPr>
      <w:r>
        <w:rPr>
          <w:rFonts w:eastAsia="Palatino" w:cs="Palatino" w:ascii="Palatino" w:hAnsi="Palatino"/>
          <w:b/>
          <w:bCs/>
          <w:sz w:val="22"/>
          <w:szCs w:val="22"/>
        </w:rPr>
        <w:t>KPMG Consulting - Communications and Content Practice</w:t>
      </w:r>
      <w:r>
        <w:rPr>
          <w:rFonts w:eastAsia="Palatino" w:cs="Palatino" w:ascii="Palatino" w:hAnsi="Palatino"/>
          <w:sz w:val="22"/>
          <w:szCs w:val="22"/>
        </w:rPr>
        <w:t xml:space="preserve">, </w:t>
      </w:r>
      <w:r>
        <w:rPr>
          <w:rFonts w:eastAsia="Palatino" w:cs="Palatino" w:ascii="Palatino" w:hAnsi="Palatino"/>
          <w:b/>
          <w:bCs/>
          <w:sz w:val="22"/>
          <w:szCs w:val="22"/>
        </w:rPr>
        <w:t>Manager</w:t>
      </w:r>
      <w:r>
        <w:rPr>
          <w:rFonts w:eastAsia="Palatino" w:cs="Palatino" w:ascii="Palatino" w:hAnsi="Palatino"/>
          <w:sz w:val="22"/>
          <w:szCs w:val="22"/>
        </w:rPr>
        <w:t>, August 2000 to present: Responsible for providing finance and strategy consulting to a variety of clients, including General Electric Power Systems, National Public Radio, National Rural Telephone Cooperative, and the National Imaging &amp; Mapping Agency, with an additional focus on business development and the development of strategic alliances with existing and potential strategic partners. Accomplishments include:</w:t>
      </w:r>
    </w:p>
    <w:p>
      <w:pPr>
        <w:pStyle w:val="Normal"/>
        <w:jc w:val="both"/>
        <w:rPr>
          <w:rFonts w:ascii="Palatino" w:hAnsi="Palatino" w:eastAsia="Palatino" w:cs="Palatino"/>
          <w:color w:val="FF0000"/>
          <w:sz w:val="22"/>
          <w:szCs w:val="22"/>
        </w:rPr>
      </w:pPr>
      <w:r>
        <w:rPr>
          <w:rFonts w:eastAsia="Palatino" w:cs="Palatino" w:ascii="Palatino" w:hAnsi="Palatino"/>
          <w:color w:val="FF0000"/>
          <w:sz w:val="22"/>
          <w:szCs w:val="22"/>
        </w:rPr>
      </w:r>
    </w:p>
    <w:p>
      <w:pPr>
        <w:pStyle w:val="Normal"/>
        <w:numPr>
          <w:ilvl w:val="0"/>
          <w:numId w:val="2"/>
        </w:numPr>
        <w:tabs>
          <w:tab w:val="clear" w:pos="720"/>
          <w:tab w:val="left" w:pos="0" w:leader="none"/>
          <w:tab w:val="left" w:pos="36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 xml:space="preserve">Analyzing the power plant and power equipment contract risk management process, reviewed existing contract management systems, and recommended a plan to develop a customized system which would streamline existing processes, improve the contract review and approval workflow, and reduce the risks from domestic and international deals ranging in size from $20 million to over $1 billion. </w:t>
      </w:r>
    </w:p>
    <w:p>
      <w:pPr>
        <w:pStyle w:val="Normal"/>
        <w:numPr>
          <w:ilvl w:val="0"/>
          <w:numId w:val="2"/>
        </w:numPr>
        <w:tabs>
          <w:tab w:val="clear" w:pos="720"/>
          <w:tab w:val="left" w:pos="0" w:leader="none"/>
          <w:tab w:val="left" w:pos="36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Completing a due diligence review of a client's business plans for a B2B telephone equipment and supplies exchange and an electronic commerce service for small businesses located in small towns and rural regions of the country.</w:t>
      </w:r>
    </w:p>
    <w:p>
      <w:pPr>
        <w:pStyle w:val="Normal"/>
        <w:numPr>
          <w:ilvl w:val="0"/>
          <w:numId w:val="2"/>
        </w:numPr>
        <w:tabs>
          <w:tab w:val="clear" w:pos="720"/>
          <w:tab w:val="left" w:pos="0" w:leader="none"/>
          <w:tab w:val="left" w:pos="36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Evaluating the feasibility of the distribution subsidiary of a major media company to use excess satellite capacity to develop an Internet Edge service offering.</w:t>
      </w:r>
    </w:p>
    <w:p>
      <w:pPr>
        <w:pStyle w:val="Normal"/>
        <w:tabs>
          <w:tab w:val="clear" w:pos="720"/>
          <w:tab w:val="left" w:pos="2430" w:leader="none"/>
        </w:tabs>
        <w:jc w:val="both"/>
        <w:rPr/>
      </w:pPr>
      <w:r>
        <w:rPr>
          <w:rFonts w:eastAsia="Palatino" w:cs="Palatino" w:ascii="Palatino" w:hAnsi="Palatino"/>
          <w:b/>
          <w:bCs/>
          <w:sz w:val="22"/>
          <w:szCs w:val="22"/>
        </w:rPr>
        <w:t>Galileo Projects</w:t>
      </w:r>
      <w:r>
        <w:rPr>
          <w:rFonts w:eastAsia="Palatino" w:cs="Palatino" w:ascii="Palatino" w:hAnsi="Palatino"/>
          <w:sz w:val="22"/>
          <w:szCs w:val="22"/>
        </w:rPr>
        <w:t xml:space="preserve">, </w:t>
      </w:r>
      <w:r>
        <w:rPr>
          <w:rFonts w:eastAsia="Palatino" w:cs="Palatino" w:ascii="Palatino" w:hAnsi="Palatino"/>
          <w:b/>
          <w:bCs/>
          <w:sz w:val="22"/>
          <w:szCs w:val="22"/>
        </w:rPr>
        <w:t xml:space="preserve">COO, </w:t>
      </w:r>
      <w:r>
        <w:rPr>
          <w:rFonts w:eastAsia="Palatino" w:cs="Palatino" w:ascii="Palatino" w:hAnsi="Palatino"/>
          <w:sz w:val="22"/>
          <w:szCs w:val="22"/>
        </w:rPr>
        <w:t>October 1999 to August 2000: COO of an internet incubator developing a variety of streaming media and digital rights management projects, including an internet radio joint venture with a Latin music record label, an image digital rights management system being developed for a major publisher, a streaming media hardware device project, and a joint venture with a film production company. Managed the day-to-day operations of the company, including technology, encoding, site operations, technology project management, management of technology relationships, recruiting team members, selecting outsourcing partners, technology evaluation, finance, budgeting, and strategic planning. Accomplishments include:</w:t>
      </w:r>
    </w:p>
    <w:p>
      <w:pPr>
        <w:pStyle w:val="Normal"/>
        <w:tabs>
          <w:tab w:val="clear" w:pos="720"/>
          <w:tab w:val="left" w:pos="2430" w:leader="none"/>
        </w:tabs>
        <w:jc w:val="both"/>
        <w:rPr>
          <w:rFonts w:ascii="Palatino" w:hAnsi="Palatino" w:eastAsia="Palatino" w:cs="Palatino"/>
          <w:sz w:val="22"/>
          <w:szCs w:val="22"/>
        </w:rPr>
      </w:pPr>
      <w:r>
        <w:rPr>
          <w:rFonts w:eastAsia="Palatino" w:cs="Palatino" w:ascii="Palatino" w:hAnsi="Palatino"/>
          <w:sz w:val="22"/>
          <w:szCs w:val="22"/>
        </w:rPr>
      </w:r>
    </w:p>
    <w:p>
      <w:pPr>
        <w:pStyle w:val="Normal"/>
        <w:numPr>
          <w:ilvl w:val="0"/>
          <w:numId w:val="3"/>
        </w:numPr>
        <w:tabs>
          <w:tab w:val="clear" w:pos="720"/>
          <w:tab w:val="left" w:pos="0" w:leader="none"/>
          <w:tab w:val="left" w:pos="360" w:leader="none"/>
          <w:tab w:val="left" w:pos="207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Developing corporate cashflow simulation models to evaluate and refine the company's business model, evaluate a potential portal marketing deal, and value potential venture capital transactions.</w:t>
      </w:r>
    </w:p>
    <w:p>
      <w:pPr>
        <w:pStyle w:val="Normal"/>
        <w:numPr>
          <w:ilvl w:val="0"/>
          <w:numId w:val="3"/>
        </w:numPr>
        <w:tabs>
          <w:tab w:val="clear" w:pos="720"/>
          <w:tab w:val="left" w:pos="0" w:leader="none"/>
          <w:tab w:val="left" w:pos="360" w:leader="none"/>
          <w:tab w:val="left" w:pos="207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Securing master agreements with the four licensing entities (Recording Industry of America, ASCAP, BMI, &amp; SESAC) necessary to legally have the rights to webcast any recorded music in the United States, making Galileo one of a small number of U.S. companies which are fully legal and compliant with the licensing and webcasting rules defined by the Digital Millennium Copyright Act.</w:t>
      </w:r>
    </w:p>
    <w:p>
      <w:pPr>
        <w:pStyle w:val="Normal"/>
        <w:numPr>
          <w:ilvl w:val="0"/>
          <w:numId w:val="3"/>
        </w:numPr>
        <w:tabs>
          <w:tab w:val="clear" w:pos="720"/>
          <w:tab w:val="left" w:pos="0" w:leader="none"/>
          <w:tab w:val="left" w:pos="360" w:leader="none"/>
          <w:tab w:val="left" w:pos="207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Building a joint venture with the Fania record label which would encode the 10,000 track Fania Latin Music catalog and develop Internet radio properties which would feature the Fania music and distribute it on the MSN.com and WindowsMedia.com sites. This project included participating in negotiations with several content providers, including two major labels, to acquire additional rights for interactive webcasting and SDMI compliant distribution of digital downloads.</w:t>
      </w:r>
    </w:p>
    <w:p>
      <w:pPr>
        <w:pStyle w:val="Normal"/>
        <w:numPr>
          <w:ilvl w:val="0"/>
          <w:numId w:val="3"/>
        </w:numPr>
        <w:tabs>
          <w:tab w:val="clear" w:pos="720"/>
          <w:tab w:val="left" w:pos="0" w:leader="none"/>
          <w:tab w:val="left" w:pos="360" w:leader="none"/>
          <w:tab w:val="left" w:pos="207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Developing an Internet radio technology strategy, plan, and architecture for a client which had or expected to close portal deals with three of the top five portals and needed an infrastructure capable of scaling to support the traffic expected to be generated from the portal deals. The finished project provided a system architecture document and plan covering the company’s Internet broadcasting software, network, system, storage, load balancing, and operations architecture.</w:t>
      </w:r>
    </w:p>
    <w:p>
      <w:pPr>
        <w:pStyle w:val="Normal"/>
        <w:tabs>
          <w:tab w:val="clear" w:pos="720"/>
          <w:tab w:val="left" w:pos="2430" w:leader="none"/>
        </w:tabs>
        <w:jc w:val="both"/>
        <w:rPr/>
      </w:pPr>
      <w:r>
        <w:rPr>
          <w:rFonts w:eastAsia="Palatino" w:cs="Palatino" w:ascii="Palatino" w:hAnsi="Palatino"/>
          <w:b/>
          <w:bCs/>
          <w:sz w:val="22"/>
          <w:szCs w:val="22"/>
        </w:rPr>
        <w:t xml:space="preserve">Webridge Ventures, Entrepreneur in Residence, </w:t>
      </w:r>
      <w:r>
        <w:rPr>
          <w:rFonts w:eastAsia="Palatino" w:cs="Palatino" w:ascii="Palatino" w:hAnsi="Palatino"/>
          <w:sz w:val="22"/>
          <w:szCs w:val="22"/>
        </w:rPr>
        <w:t>June 1999 to December 1999:  Responsible for venture capital due diligence and providing strategy, marketing, and technical consulting to Webridge portfolio companies and clients. Accomplishments included:</w:t>
      </w:r>
    </w:p>
    <w:p>
      <w:pPr>
        <w:pStyle w:val="Normal"/>
        <w:tabs>
          <w:tab w:val="clear" w:pos="720"/>
          <w:tab w:val="left" w:pos="2430" w:leader="none"/>
        </w:tabs>
        <w:jc w:val="both"/>
        <w:rPr>
          <w:rFonts w:ascii="Palatino" w:hAnsi="Palatino" w:eastAsia="Palatino" w:cs="Palatino"/>
          <w:sz w:val="22"/>
          <w:szCs w:val="22"/>
        </w:rPr>
      </w:pPr>
      <w:r>
        <w:rPr>
          <w:rFonts w:eastAsia="Palatino" w:cs="Palatino" w:ascii="Palatino" w:hAnsi="Palatino"/>
          <w:sz w:val="22"/>
          <w:szCs w:val="22"/>
        </w:rPr>
      </w:r>
    </w:p>
    <w:p>
      <w:pPr>
        <w:pStyle w:val="Normal"/>
        <w:numPr>
          <w:ilvl w:val="0"/>
          <w:numId w:val="4"/>
        </w:numPr>
        <w:tabs>
          <w:tab w:val="clear" w:pos="720"/>
          <w:tab w:val="left" w:pos="0" w:leader="none"/>
          <w:tab w:val="left" w:pos="360" w:leader="none"/>
          <w:tab w:val="left" w:pos="207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 xml:space="preserve">Performing due diligence on dozens of potential Webridge investments in Internet, New Media, and eCommerce startups, developing corporate cashflow simulation models to evaluate and price these potential investments, and making recommendations on whether Webridge should accept or decline the investment proposals. </w:t>
      </w:r>
    </w:p>
    <w:p>
      <w:pPr>
        <w:pStyle w:val="Normal"/>
        <w:numPr>
          <w:ilvl w:val="0"/>
          <w:numId w:val="4"/>
        </w:numPr>
        <w:tabs>
          <w:tab w:val="clear" w:pos="720"/>
          <w:tab w:val="left" w:pos="0" w:leader="none"/>
          <w:tab w:val="left" w:pos="360" w:leader="none"/>
          <w:tab w:val="left" w:pos="207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 xml:space="preserve">Working as part of a team of investment bankers from Webridge Securities and Alterity Parters to prepare a security offering to restructure and sell AMP3.com while paying off all creditors in full. This effort generated three acquisition offers which were presented to AMP3.com's board of directors. </w:t>
      </w:r>
    </w:p>
    <w:p>
      <w:pPr>
        <w:pStyle w:val="Normal"/>
        <w:numPr>
          <w:ilvl w:val="0"/>
          <w:numId w:val="4"/>
        </w:numPr>
        <w:tabs>
          <w:tab w:val="clear" w:pos="720"/>
          <w:tab w:val="left" w:pos="0" w:leader="none"/>
          <w:tab w:val="left" w:pos="360" w:leader="none"/>
          <w:tab w:val="left" w:pos="207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Developing the business plan which led to the development of Galileo Projects.</w:t>
      </w:r>
    </w:p>
    <w:p>
      <w:pPr>
        <w:pStyle w:val="Normal"/>
        <w:jc w:val="both"/>
        <w:rPr/>
      </w:pPr>
      <w:r>
        <w:rPr>
          <w:rFonts w:eastAsia="Palatino" w:cs="Palatino" w:ascii="Palatino" w:hAnsi="Palatino"/>
          <w:b/>
          <w:bCs/>
          <w:sz w:val="22"/>
          <w:szCs w:val="22"/>
        </w:rPr>
        <w:t xml:space="preserve">YellowGiant.com (formerly Adverb Intermedia), CFO / COO and member of the board of directors, </w:t>
      </w:r>
      <w:r>
        <w:rPr>
          <w:rFonts w:eastAsia="Palatino" w:cs="Palatino" w:ascii="Palatino" w:hAnsi="Palatino"/>
          <w:sz w:val="22"/>
          <w:szCs w:val="22"/>
        </w:rPr>
        <w:t>September 1996 to October 1999: Managed the business, planning, and operations of a Silicon Valley Internet startup developing a next-generation yellow pages advertising technology, search engine, and portal. Accomplishments include:</w:t>
      </w:r>
    </w:p>
    <w:p>
      <w:pPr>
        <w:pStyle w:val="Normal"/>
        <w:jc w:val="both"/>
        <w:rPr>
          <w:rFonts w:ascii="Palatino" w:hAnsi="Palatino" w:eastAsia="Palatino" w:cs="Palatino"/>
          <w:sz w:val="22"/>
          <w:szCs w:val="22"/>
        </w:rPr>
      </w:pPr>
      <w:r>
        <w:rPr>
          <w:rFonts w:eastAsia="Palatino" w:cs="Palatino" w:ascii="Palatino" w:hAnsi="Palatino"/>
          <w:sz w:val="22"/>
          <w:szCs w:val="22"/>
        </w:rPr>
      </w:r>
    </w:p>
    <w:p>
      <w:pPr>
        <w:pStyle w:val="Normal"/>
        <w:numPr>
          <w:ilvl w:val="0"/>
          <w:numId w:val="5"/>
        </w:numPr>
        <w:tabs>
          <w:tab w:val="clear" w:pos="720"/>
          <w:tab w:val="left" w:pos="0" w:leader="none"/>
          <w:tab w:val="left" w:pos="36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Project lead on a year long project to research and model the Yellow Page publishing industry to identify weaknesses, problems, and opportunities for re-engineering existing industry practices using internet technologies. This effort was used to help design the company's enterprise software product for directory publishers.</w:t>
      </w:r>
    </w:p>
    <w:p>
      <w:pPr>
        <w:pStyle w:val="Normal"/>
        <w:numPr>
          <w:ilvl w:val="0"/>
          <w:numId w:val="5"/>
        </w:numPr>
        <w:tabs>
          <w:tab w:val="clear" w:pos="720"/>
          <w:tab w:val="left" w:pos="0" w:leader="none"/>
          <w:tab w:val="left" w:pos="360" w:leader="none"/>
        </w:tabs>
        <w:spacing w:before="0" w:after="120"/>
        <w:ind w:hanging="720" w:start="1080" w:end="0"/>
        <w:jc w:val="both"/>
        <w:rPr>
          <w:rFonts w:ascii="Palatino" w:hAnsi="Palatino" w:eastAsia="Palatino" w:cs="Palatino"/>
          <w:sz w:val="22"/>
          <w:szCs w:val="22"/>
        </w:rPr>
      </w:pPr>
      <w:r>
        <w:rPr>
          <w:rFonts w:eastAsia="Palatino" w:cs="Palatino" w:ascii="Palatino" w:hAnsi="Palatino"/>
          <w:sz w:val="22"/>
          <w:szCs w:val="22"/>
        </w:rPr>
        <w:t>Building corporate cashflow simulation models to evaluate whether the company should build its own data center and network infrastructure or outsource these requirements and to evaluate a variety of strategic moves and business models.</w:t>
      </w:r>
    </w:p>
    <w:p>
      <w:pPr>
        <w:pStyle w:val="Normal"/>
        <w:jc w:val="both"/>
        <w:rPr/>
      </w:pPr>
      <w:r>
        <w:rPr>
          <w:rFonts w:eastAsia="Palatino" w:cs="Palatino" w:ascii="Palatino" w:hAnsi="Palatino"/>
          <w:b/>
          <w:bCs/>
          <w:sz w:val="22"/>
          <w:szCs w:val="22"/>
        </w:rPr>
        <w:t xml:space="preserve">Enron Capital &amp; Trade Resources, Associate, </w:t>
      </w:r>
      <w:r>
        <w:rPr>
          <w:rFonts w:eastAsia="Palatino" w:cs="Palatino" w:ascii="Palatino" w:hAnsi="Palatino"/>
          <w:sz w:val="22"/>
          <w:szCs w:val="22"/>
        </w:rPr>
        <w:t>Summer 1996:  Summer MBA associate in the deal pricing and risk analytics group. Responsible for using corporate cashflow models to price, evaluate, and restructure oil &amp; gas, refining, and electric utility corporate finance transactions. Provided deal valuation, risk, and structuring analysis on a $500 million refinery project, a Canadian oil &amp; gas exploration project, and a multibillion dollar electric utility acquisition.</w:t>
      </w:r>
    </w:p>
    <w:p>
      <w:pPr>
        <w:pStyle w:val="Normal"/>
        <w:jc w:val="both"/>
        <w:rPr>
          <w:rFonts w:ascii="Palatino" w:hAnsi="Palatino" w:eastAsia="Palatino" w:cs="Palatino"/>
          <w:b/>
          <w:bCs/>
          <w:sz w:val="22"/>
          <w:szCs w:val="22"/>
        </w:rPr>
      </w:pPr>
      <w:r>
        <w:rPr>
          <w:rFonts w:eastAsia="Palatino" w:cs="Palatino" w:ascii="Palatino" w:hAnsi="Palatino"/>
          <w:b/>
          <w:bCs/>
          <w:sz w:val="22"/>
          <w:szCs w:val="22"/>
        </w:rPr>
      </w:r>
    </w:p>
    <w:p>
      <w:pPr>
        <w:pStyle w:val="Normal"/>
        <w:jc w:val="both"/>
        <w:rPr/>
      </w:pPr>
      <w:r>
        <w:rPr>
          <w:rFonts w:eastAsia="Palatino" w:cs="Palatino" w:ascii="Palatino" w:hAnsi="Palatino"/>
          <w:b/>
          <w:bCs/>
          <w:sz w:val="22"/>
          <w:szCs w:val="22"/>
        </w:rPr>
        <w:t>UCB Financial Engineering Lab, Researcher,</w:t>
      </w:r>
      <w:r>
        <w:rPr>
          <w:rFonts w:eastAsia="Palatino" w:cs="Palatino" w:ascii="Palatino" w:hAnsi="Palatino"/>
          <w:sz w:val="22"/>
          <w:szCs w:val="22"/>
        </w:rPr>
        <w:t xml:space="preserve"> August 1995 to April 1997:  Researcher responsible for designing the lab, working with Algorithmics, Financial Engineering Associates, Leading Market Technologies, Reuters, TIBCO, and other vendors to obtain grants and to install and support their products, developing TIB MarketSheet pages for classes, and publishing yield curve, forward, and volatility data for end-users on the Teknekron network.</w:t>
      </w:r>
    </w:p>
    <w:p>
      <w:pPr>
        <w:pStyle w:val="Normal"/>
        <w:tabs>
          <w:tab w:val="clear" w:pos="720"/>
          <w:tab w:val="left" w:pos="2430" w:leader="none"/>
        </w:tabs>
        <w:jc w:val="both"/>
        <w:rPr/>
      </w:pPr>
      <w:r>
        <w:rPr>
          <w:rFonts w:eastAsia="Palatino" w:cs="Palatino" w:ascii="Palatino" w:hAnsi="Palatino"/>
          <w:b/>
          <w:bCs/>
          <w:sz w:val="22"/>
          <w:szCs w:val="22"/>
        </w:rPr>
        <w:t>Derivative Risk Analyst Research,</w:t>
      </w:r>
      <w:r>
        <w:rPr>
          <w:rFonts w:eastAsia="Palatino" w:cs="Palatino" w:ascii="Palatino" w:hAnsi="Palatino"/>
          <w:sz w:val="22"/>
          <w:szCs w:val="22"/>
        </w:rPr>
        <w:t xml:space="preserve"> </w:t>
      </w:r>
      <w:r>
        <w:rPr>
          <w:rFonts w:eastAsia="Palatino" w:cs="Palatino" w:ascii="Palatino" w:hAnsi="Palatino"/>
          <w:b/>
          <w:bCs/>
          <w:sz w:val="22"/>
          <w:szCs w:val="22"/>
        </w:rPr>
        <w:t xml:space="preserve">Director, </w:t>
      </w:r>
      <w:r>
        <w:rPr>
          <w:rFonts w:eastAsia="Palatino" w:cs="Palatino" w:ascii="Palatino" w:hAnsi="Palatino"/>
          <w:sz w:val="22"/>
          <w:szCs w:val="22"/>
        </w:rPr>
        <w:t>Fall 1996 through May 1997:  Provided corporate cashflow modeling research and consulting services for corporate and investment banking clients. Corporate cashflow models are integrated, simulation-based models of the firm and its cashflow risks which result from both market, industry-specific, and company-specific operating risk which are primarily used for the valuation, risk analysis, and structuring of investment banking and venture capital transactions and for designing optimal capital structures and hedging strategies. Corporate cashflow modeling accomplishments include:</w:t>
      </w:r>
    </w:p>
    <w:p>
      <w:pPr>
        <w:pStyle w:val="Normal"/>
        <w:numPr>
          <w:ilvl w:val="0"/>
          <w:numId w:val="6"/>
        </w:numPr>
        <w:tabs>
          <w:tab w:val="clear" w:pos="720"/>
          <w:tab w:val="left" w:pos="0" w:leader="none"/>
          <w:tab w:val="left" w:pos="360" w:leader="none"/>
          <w:tab w:val="left" w:pos="2070" w:leader="none"/>
        </w:tabs>
        <w:spacing w:before="80" w:after="80"/>
        <w:ind w:hanging="720" w:start="1080" w:end="0"/>
        <w:jc w:val="both"/>
        <w:rPr>
          <w:rFonts w:ascii="Palatino" w:hAnsi="Palatino" w:eastAsia="Palatino" w:cs="Palatino"/>
          <w:sz w:val="22"/>
          <w:szCs w:val="22"/>
        </w:rPr>
      </w:pPr>
      <w:r>
        <w:rPr>
          <w:rFonts w:eastAsia="Palatino" w:cs="Palatino" w:ascii="Palatino" w:hAnsi="Palatino"/>
          <w:sz w:val="22"/>
          <w:szCs w:val="22"/>
        </w:rPr>
        <w:t xml:space="preserve">Developing industry-specific modeling techniques to properly price and analyze real options resulting from timing and operations. </w:t>
      </w:r>
    </w:p>
    <w:p>
      <w:pPr>
        <w:pStyle w:val="Normal"/>
        <w:numPr>
          <w:ilvl w:val="0"/>
          <w:numId w:val="6"/>
        </w:numPr>
        <w:tabs>
          <w:tab w:val="clear" w:pos="720"/>
          <w:tab w:val="left" w:pos="0" w:leader="none"/>
          <w:tab w:val="left" w:pos="360" w:leader="none"/>
          <w:tab w:val="left" w:pos="2070" w:leader="none"/>
        </w:tabs>
        <w:spacing w:before="0" w:after="80"/>
        <w:ind w:hanging="720" w:start="1080" w:end="0"/>
        <w:jc w:val="both"/>
        <w:rPr>
          <w:rFonts w:ascii="Palatino" w:hAnsi="Palatino" w:eastAsia="Palatino" w:cs="Palatino"/>
          <w:sz w:val="22"/>
          <w:szCs w:val="22"/>
        </w:rPr>
      </w:pPr>
      <w:r>
        <w:rPr>
          <w:rFonts w:eastAsia="Palatino" w:cs="Palatino" w:ascii="Palatino" w:hAnsi="Palatino"/>
          <w:sz w:val="22"/>
          <w:szCs w:val="22"/>
        </w:rPr>
        <w:t>Developing valuation and risk analysis models using RAROC, simulation, and real options techniques to value patents, other intangible assets, and startup companies with multiple rounds of venture capital investment.</w:t>
      </w:r>
    </w:p>
    <w:p>
      <w:pPr>
        <w:pStyle w:val="Normal"/>
        <w:numPr>
          <w:ilvl w:val="0"/>
          <w:numId w:val="6"/>
        </w:numPr>
        <w:tabs>
          <w:tab w:val="clear" w:pos="720"/>
          <w:tab w:val="left" w:pos="0" w:leader="none"/>
          <w:tab w:val="left" w:pos="360" w:leader="none"/>
          <w:tab w:val="left" w:pos="2070" w:leader="none"/>
        </w:tabs>
        <w:spacing w:before="0" w:after="80"/>
        <w:ind w:hanging="720" w:start="1080" w:end="0"/>
        <w:jc w:val="both"/>
        <w:rPr>
          <w:rFonts w:ascii="Palatino" w:hAnsi="Palatino" w:eastAsia="Palatino" w:cs="Palatino"/>
          <w:sz w:val="22"/>
          <w:szCs w:val="22"/>
        </w:rPr>
      </w:pPr>
      <w:r>
        <w:rPr>
          <w:rFonts w:eastAsia="Palatino" w:cs="Palatino" w:ascii="Palatino" w:hAnsi="Palatino"/>
          <w:sz w:val="22"/>
          <w:szCs w:val="22"/>
        </w:rPr>
        <w:t>Designing and testing corporate cashflow models running on clusters of multiple-processor NT computational servers to solve finance problems which previously would have required supercomputers to solve.</w:t>
      </w:r>
    </w:p>
    <w:p>
      <w:pPr>
        <w:pStyle w:val="Normal"/>
        <w:numPr>
          <w:ilvl w:val="0"/>
          <w:numId w:val="6"/>
        </w:numPr>
        <w:tabs>
          <w:tab w:val="clear" w:pos="720"/>
          <w:tab w:val="left" w:pos="0" w:leader="none"/>
          <w:tab w:val="left" w:pos="360" w:leader="none"/>
          <w:tab w:val="left" w:pos="2070" w:leader="none"/>
        </w:tabs>
        <w:spacing w:before="0" w:after="80"/>
        <w:ind w:hanging="720" w:start="1080" w:end="0"/>
        <w:jc w:val="both"/>
        <w:rPr>
          <w:rFonts w:ascii="Palatino" w:hAnsi="Palatino" w:eastAsia="Palatino" w:cs="Palatino"/>
          <w:sz w:val="22"/>
          <w:szCs w:val="22"/>
        </w:rPr>
      </w:pPr>
      <w:r>
        <w:rPr>
          <w:rFonts w:eastAsia="Palatino" w:cs="Palatino" w:ascii="Palatino" w:hAnsi="Palatino"/>
          <w:sz w:val="22"/>
          <w:szCs w:val="22"/>
        </w:rPr>
        <w:t>Providing deal valuation and risk analysis for a junior gold mining company for projects in Alaska and California.</w:t>
      </w:r>
    </w:p>
    <w:p>
      <w:pPr>
        <w:pStyle w:val="Normal"/>
        <w:tabs>
          <w:tab w:val="clear" w:pos="720"/>
          <w:tab w:val="left" w:pos="2430" w:leader="none"/>
        </w:tabs>
        <w:jc w:val="both"/>
        <w:rPr>
          <w:rFonts w:ascii="Antique Olive Roman" w:hAnsi="Antique Olive Roman" w:eastAsia="Antique Olive Roman" w:cs="Antique Olive Roman"/>
          <w:b/>
          <w:bCs/>
          <w:sz w:val="22"/>
          <w:szCs w:val="22"/>
        </w:rPr>
      </w:pPr>
      <w:r>
        <w:rPr>
          <w:rFonts w:eastAsia="Palatino" w:cs="Palatino" w:ascii="Palatino" w:hAnsi="Palatino"/>
          <w:b/>
          <w:bCs/>
          <w:sz w:val="22"/>
          <w:szCs w:val="22"/>
        </w:rPr>
        <w:t>Derivative Risk Analyst Research,</w:t>
      </w:r>
      <w:r>
        <w:rPr>
          <w:rFonts w:eastAsia="Palatino" w:cs="Palatino" w:ascii="Palatino" w:hAnsi="Palatino"/>
          <w:sz w:val="22"/>
          <w:szCs w:val="22"/>
        </w:rPr>
        <w:t xml:space="preserve"> </w:t>
      </w:r>
      <w:r>
        <w:rPr>
          <w:rFonts w:eastAsia="Palatino" w:cs="Palatino" w:ascii="Palatino" w:hAnsi="Palatino"/>
          <w:b/>
          <w:bCs/>
          <w:sz w:val="22"/>
          <w:szCs w:val="22"/>
        </w:rPr>
        <w:t xml:space="preserve">Director, </w:t>
      </w:r>
      <w:r>
        <w:rPr>
          <w:rFonts w:eastAsia="Palatino" w:cs="Palatino" w:ascii="Palatino" w:hAnsi="Palatino"/>
          <w:sz w:val="22"/>
          <w:szCs w:val="22"/>
        </w:rPr>
        <w:t xml:space="preserve">Fall 1992 to May 1996:  Provided risk management analytics, consulting, and research services for large derivatives dealers and end-users. Clients and subscribers included Bankers Trust, BZW, Citibank, Enron, Fidelity, GE Capital, and other derivatives dealers, corporate end-users, and investment managers. Received industry recognition and publicity in 1994 as editor of the </w:t>
      </w:r>
      <w:r>
        <w:rPr>
          <w:rFonts w:eastAsia="Palatino" w:cs="Palatino" w:ascii="Palatino" w:hAnsi="Palatino"/>
          <w:b/>
          <w:bCs/>
          <w:i/>
          <w:iCs/>
          <w:sz w:val="22"/>
          <w:szCs w:val="22"/>
        </w:rPr>
        <w:t>Derivative Risk Analyst</w:t>
      </w:r>
      <w:r>
        <w:rPr>
          <w:rFonts w:eastAsia="Palatino" w:cs="Palatino" w:ascii="Palatino" w:hAnsi="Palatino"/>
          <w:sz w:val="22"/>
          <w:szCs w:val="22"/>
        </w:rPr>
        <w:t xml:space="preserve"> newsletter for case studies explaining the causes of prominent derivatives losses and benchmarking the best practices and systems to manage the risks of derivatives.</w:t>
      </w:r>
    </w:p>
    <w:p>
      <w:pPr>
        <w:pStyle w:val="Normal"/>
        <w:spacing w:before="120" w:after="120"/>
        <w:jc w:val="both"/>
        <w:rPr/>
      </w:pPr>
      <w:r>
        <w:rPr>
          <w:rFonts w:eastAsia="Antique Olive Roman" w:cs="Antique Olive Roman" w:ascii="Antique Olive Roman" w:hAnsi="Antique Olive Roman"/>
          <w:b/>
          <w:bCs/>
          <w:sz w:val="22"/>
          <w:szCs w:val="22"/>
        </w:rPr>
        <w:t>Education:</w:t>
      </w:r>
      <w:r>
        <w:rPr>
          <w:rFonts w:eastAsia="Antique Olive Roman" w:cs="Antique Olive Roman" w:ascii="Antique Olive Roman" w:hAnsi="Antique Olive Roman"/>
          <w:sz w:val="22"/>
          <w:szCs w:val="22"/>
        </w:rPr>
        <w:tab/>
      </w:r>
    </w:p>
    <w:p>
      <w:pPr>
        <w:pStyle w:val="Normal"/>
        <w:numPr>
          <w:ilvl w:val="0"/>
          <w:numId w:val="7"/>
        </w:numPr>
        <w:tabs>
          <w:tab w:val="clear" w:pos="720"/>
          <w:tab w:val="left" w:pos="0" w:leader="none"/>
          <w:tab w:val="left" w:pos="360" w:leader="none"/>
        </w:tabs>
        <w:spacing w:before="0" w:after="80"/>
        <w:ind w:hanging="720" w:start="1080" w:end="0"/>
        <w:jc w:val="both"/>
        <w:rPr/>
      </w:pPr>
      <w:r>
        <w:rPr>
          <w:rFonts w:eastAsia="Palatino" w:cs="Palatino" w:ascii="Palatino" w:hAnsi="Palatino"/>
          <w:b/>
          <w:bCs/>
          <w:sz w:val="22"/>
          <w:szCs w:val="22"/>
        </w:rPr>
        <w:t>University of California, Haas Graduate School of Business:</w:t>
      </w:r>
      <w:r>
        <w:rPr>
          <w:rFonts w:eastAsia="Palatino" w:cs="Palatino" w:ascii="Palatino" w:hAnsi="Palatino"/>
          <w:sz w:val="22"/>
          <w:szCs w:val="22"/>
        </w:rPr>
        <w:t xml:space="preserve"> Masters in Business Administration, May 1997. Placed out of record six core classes and focused on Ph.D. finance, strategy, and information technology classes. Was the only MBA student invited to attend the Berkeley Program in Finance conferences in the Fall of 1995 and the Fall of 1996.</w:t>
      </w:r>
    </w:p>
    <w:p>
      <w:pPr>
        <w:pStyle w:val="Normal"/>
        <w:numPr>
          <w:ilvl w:val="0"/>
          <w:numId w:val="7"/>
        </w:numPr>
        <w:tabs>
          <w:tab w:val="clear" w:pos="720"/>
          <w:tab w:val="left" w:pos="0" w:leader="none"/>
          <w:tab w:val="left" w:pos="360" w:leader="none"/>
        </w:tabs>
        <w:spacing w:before="0" w:after="80"/>
        <w:ind w:hanging="720" w:start="1080" w:end="0"/>
        <w:jc w:val="both"/>
        <w:rPr/>
      </w:pPr>
      <w:r>
        <w:rPr>
          <w:rFonts w:eastAsia="Palatino" w:cs="Palatino" w:ascii="Palatino" w:hAnsi="Palatino"/>
          <w:b/>
          <w:bCs/>
          <w:sz w:val="22"/>
          <w:szCs w:val="22"/>
        </w:rPr>
        <w:t>University of Virginia, Graduate School of Engineering and Applied Science:</w:t>
      </w:r>
      <w:r>
        <w:rPr>
          <w:rFonts w:eastAsia="Palatino" w:cs="Palatino" w:ascii="Palatino" w:hAnsi="Palatino"/>
          <w:sz w:val="22"/>
          <w:szCs w:val="22"/>
        </w:rPr>
        <w:t xml:space="preserve"> Completed 22 units of manufacturing systems engineering and operations research courses and a masters thesis on quality management completed while working full-time between September 1992 and December 1993. </w:t>
      </w:r>
    </w:p>
    <w:p>
      <w:pPr>
        <w:pStyle w:val="Normal"/>
        <w:numPr>
          <w:ilvl w:val="0"/>
          <w:numId w:val="7"/>
        </w:numPr>
        <w:tabs>
          <w:tab w:val="clear" w:pos="720"/>
          <w:tab w:val="left" w:pos="0" w:leader="none"/>
          <w:tab w:val="left" w:pos="360" w:leader="none"/>
        </w:tabs>
        <w:spacing w:before="0" w:after="80"/>
        <w:ind w:hanging="720" w:start="1080" w:end="0"/>
        <w:jc w:val="both"/>
        <w:rPr/>
      </w:pPr>
      <w:r>
        <w:rPr>
          <w:rFonts w:eastAsia="Palatino" w:cs="Palatino" w:ascii="Palatino" w:hAnsi="Palatino"/>
          <w:b/>
          <w:bCs/>
          <w:sz w:val="22"/>
          <w:szCs w:val="22"/>
        </w:rPr>
        <w:t>University of Virginia, McIntire School of Commerce</w:t>
      </w:r>
      <w:r>
        <w:rPr>
          <w:rFonts w:eastAsia="Palatino" w:cs="Palatino" w:ascii="Palatino" w:hAnsi="Palatino"/>
          <w:sz w:val="22"/>
          <w:szCs w:val="22"/>
        </w:rPr>
        <w:t>: September 1988 to May 1992.  B.S. in Commerce concentrating in finance and management.</w:t>
      </w:r>
    </w:p>
    <w:p>
      <w:pPr>
        <w:pStyle w:val="Normal"/>
        <w:spacing w:before="120" w:after="120"/>
        <w:jc w:val="both"/>
        <w:rPr>
          <w:rFonts w:ascii="Antique Olive Roman" w:hAnsi="Antique Olive Roman" w:eastAsia="Antique Olive Roman" w:cs="Antique Olive Roman"/>
          <w:b/>
          <w:bCs/>
          <w:sz w:val="22"/>
          <w:szCs w:val="22"/>
        </w:rPr>
      </w:pPr>
      <w:r>
        <w:rPr>
          <w:rFonts w:eastAsia="Antique Olive Roman" w:cs="Antique Olive Roman" w:ascii="Antique Olive Roman" w:hAnsi="Antique Olive Roman"/>
          <w:b/>
          <w:bCs/>
          <w:sz w:val="22"/>
          <w:szCs w:val="22"/>
        </w:rPr>
        <w:t>Books &amp; Papers Published:</w:t>
        <w:tab/>
      </w:r>
    </w:p>
    <w:p>
      <w:pPr>
        <w:pStyle w:val="Normal"/>
        <w:numPr>
          <w:ilvl w:val="0"/>
          <w:numId w:val="8"/>
        </w:numPr>
        <w:tabs>
          <w:tab w:val="clear" w:pos="720"/>
          <w:tab w:val="left" w:pos="0" w:leader="none"/>
          <w:tab w:val="left" w:pos="360" w:leader="none"/>
        </w:tabs>
        <w:spacing w:before="0" w:after="60"/>
        <w:ind w:hanging="720" w:start="1080" w:end="0"/>
        <w:jc w:val="both"/>
        <w:rPr/>
      </w:pPr>
      <w:r>
        <w:rPr>
          <w:rFonts w:eastAsia="Palatino" w:cs="Palatino" w:ascii="Palatino" w:hAnsi="Palatino"/>
          <w:b/>
          <w:bCs/>
          <w:i/>
          <w:iCs/>
          <w:sz w:val="22"/>
          <w:szCs w:val="22"/>
        </w:rPr>
        <w:t>Virtual Private Networks: Market Opportunities and Implications for Service Providers and Their Suppliers</w:t>
      </w:r>
      <w:r>
        <w:rPr>
          <w:rFonts w:eastAsia="Palatino" w:cs="Palatino" w:ascii="Palatino" w:hAnsi="Palatino"/>
          <w:sz w:val="22"/>
          <w:szCs w:val="22"/>
        </w:rPr>
        <w:t>, Communications Industry Researchers, 1999,  279 pages.</w:t>
      </w:r>
    </w:p>
    <w:p>
      <w:pPr>
        <w:pStyle w:val="Normal"/>
        <w:numPr>
          <w:ilvl w:val="0"/>
          <w:numId w:val="8"/>
        </w:numPr>
        <w:tabs>
          <w:tab w:val="clear" w:pos="720"/>
          <w:tab w:val="left" w:pos="0" w:leader="none"/>
          <w:tab w:val="left" w:pos="360" w:leader="none"/>
        </w:tabs>
        <w:spacing w:before="0" w:after="60"/>
        <w:ind w:hanging="720" w:start="1080" w:end="0"/>
        <w:jc w:val="both"/>
        <w:rPr/>
      </w:pPr>
      <w:r>
        <w:rPr>
          <w:rFonts w:eastAsia="Palatino" w:cs="Palatino" w:ascii="Palatino" w:hAnsi="Palatino"/>
          <w:b/>
          <w:bCs/>
          <w:i/>
          <w:iCs/>
          <w:sz w:val="22"/>
          <w:szCs w:val="22"/>
        </w:rPr>
        <w:t>Implementing Corporate Cashflow Models: A High Level Overview of Corporate Cashflow Models and Their Applications</w:t>
      </w:r>
      <w:r>
        <w:rPr>
          <w:rFonts w:eastAsia="Palatino" w:cs="Palatino" w:ascii="Palatino" w:hAnsi="Palatino"/>
          <w:sz w:val="22"/>
          <w:szCs w:val="22"/>
        </w:rPr>
        <w:t>, Mightywords.com, April 1999. 31 Pages.</w:t>
      </w:r>
    </w:p>
    <w:p>
      <w:pPr>
        <w:pStyle w:val="Normal"/>
        <w:numPr>
          <w:ilvl w:val="0"/>
          <w:numId w:val="8"/>
        </w:numPr>
        <w:tabs>
          <w:tab w:val="clear" w:pos="720"/>
          <w:tab w:val="left" w:pos="0" w:leader="none"/>
          <w:tab w:val="left" w:pos="360" w:leader="none"/>
        </w:tabs>
        <w:spacing w:before="0" w:after="60"/>
        <w:ind w:hanging="720" w:start="1080" w:end="0"/>
        <w:jc w:val="both"/>
        <w:rPr/>
      </w:pPr>
      <w:r>
        <w:rPr>
          <w:rFonts w:eastAsia="Palatino" w:cs="Palatino" w:ascii="Palatino" w:hAnsi="Palatino"/>
          <w:sz w:val="22"/>
          <w:szCs w:val="22"/>
        </w:rPr>
        <w:t xml:space="preserve">"Derivative Risk Analyst Collection of Articles on Derivatives Losses and the Internal Controls Required to Prevent Them", </w:t>
      </w:r>
      <w:r>
        <w:rPr>
          <w:rFonts w:eastAsia="Palatino" w:cs="Palatino" w:ascii="Palatino" w:hAnsi="Palatino"/>
          <w:b/>
          <w:bCs/>
          <w:i/>
          <w:iCs/>
          <w:sz w:val="22"/>
          <w:szCs w:val="22"/>
        </w:rPr>
        <w:t>Derivative Risk Analyst</w:t>
      </w:r>
      <w:r>
        <w:rPr>
          <w:rFonts w:eastAsia="Palatino" w:cs="Palatino" w:ascii="Palatino" w:hAnsi="Palatino"/>
          <w:sz w:val="22"/>
          <w:szCs w:val="22"/>
        </w:rPr>
        <w:t>, August 1995, 40 Pages.</w:t>
      </w:r>
    </w:p>
    <w:p>
      <w:pPr>
        <w:pStyle w:val="Normal"/>
        <w:spacing w:before="120" w:after="120"/>
        <w:jc w:val="both"/>
        <w:rPr>
          <w:rFonts w:ascii="Antique Olive Roman" w:hAnsi="Antique Olive Roman" w:eastAsia="Antique Olive Roman" w:cs="Antique Olive Roman"/>
          <w:b/>
          <w:bCs/>
          <w:sz w:val="22"/>
          <w:szCs w:val="22"/>
        </w:rPr>
      </w:pPr>
      <w:r>
        <w:rPr>
          <w:rFonts w:eastAsia="Antique Olive Roman" w:cs="Antique Olive Roman" w:ascii="Antique Olive Roman" w:hAnsi="Antique Olive Roman"/>
          <w:b/>
          <w:bCs/>
          <w:sz w:val="22"/>
          <w:szCs w:val="22"/>
        </w:rPr>
        <w:t>Current Research Projects:</w:t>
        <w:tab/>
      </w:r>
    </w:p>
    <w:p>
      <w:pPr>
        <w:pStyle w:val="Normal"/>
        <w:numPr>
          <w:ilvl w:val="0"/>
          <w:numId w:val="9"/>
        </w:numPr>
        <w:tabs>
          <w:tab w:val="clear" w:pos="720"/>
          <w:tab w:val="left" w:pos="0" w:leader="none"/>
          <w:tab w:val="left" w:pos="360" w:leader="none"/>
        </w:tabs>
        <w:spacing w:before="0" w:after="120"/>
        <w:ind w:hanging="720" w:start="1080" w:end="0"/>
        <w:jc w:val="both"/>
        <w:rPr/>
      </w:pPr>
      <w:r>
        <w:rPr>
          <w:rFonts w:eastAsia="Palatino" w:cs="Palatino" w:ascii="Palatino" w:hAnsi="Palatino"/>
          <w:b/>
          <w:bCs/>
          <w:sz w:val="22"/>
          <w:szCs w:val="22"/>
        </w:rPr>
        <w:t>Real Options Research</w:t>
      </w:r>
      <w:r>
        <w:rPr>
          <w:rFonts w:eastAsia="Palatino" w:cs="Palatino" w:ascii="Palatino" w:hAnsi="Palatino"/>
          <w:sz w:val="22"/>
          <w:szCs w:val="22"/>
        </w:rPr>
        <w:t xml:space="preserve">: Joint research project with Professor James W. Lark of the University of Virginia. The basis of the research is a view that current real option methods which are trying to adapt the Black-Scholes equity option pricing model to price real options are fatally flawed and that the solution to these problems requires integrating optimization models which run during each simulation iteration as part of the larger corporate cashflow models rather than trying to adapt Black-Scholes to model the real option. Essentially, the optimization code contains the decision logic to model management's flexibility to adapt the operation of the business as the environment changes, while the simulated stochastic processes model the business environment. The two combine to generate the distribution of cashflows which are necessary to price the real option. These models are implemented using a CB Turbo cluster of Windows NT workstations running Microsoft Excel and the Crystal Ball 2000 Professional and Frontline System's Premium Solver Platform add-in's to Excel. </w:t>
      </w:r>
    </w:p>
    <w:p>
      <w:pPr>
        <w:pStyle w:val="Normal"/>
        <w:numPr>
          <w:ilvl w:val="0"/>
          <w:numId w:val="9"/>
        </w:numPr>
        <w:tabs>
          <w:tab w:val="clear" w:pos="720"/>
          <w:tab w:val="left" w:pos="0" w:leader="none"/>
          <w:tab w:val="left" w:pos="360" w:leader="none"/>
        </w:tabs>
        <w:spacing w:before="0" w:after="120"/>
        <w:ind w:hanging="720" w:start="1080" w:end="0"/>
        <w:jc w:val="both"/>
        <w:rPr/>
      </w:pPr>
      <w:r>
        <w:rPr>
          <w:rFonts w:eastAsia="Palatino" w:cs="Palatino" w:ascii="Palatino" w:hAnsi="Palatino"/>
          <w:b/>
          <w:bCs/>
          <w:sz w:val="22"/>
          <w:szCs w:val="22"/>
        </w:rPr>
        <w:t>Book / Thesis on Cashflow Modeling &amp; Real Options</w:t>
      </w:r>
      <w:r>
        <w:rPr>
          <w:rFonts w:eastAsia="Palatino" w:cs="Palatino" w:ascii="Palatino" w:hAnsi="Palatino"/>
          <w:sz w:val="22"/>
          <w:szCs w:val="22"/>
        </w:rPr>
        <w:t>: Research project to provide a comprehensive review of corporate cashflow modeling techniques, industry specific modeling requirements, applications, and implementation problems, numerous case studies and exercises, and robust corporate cashflow model spreadsheet templates, and preparing training materials for classroom instruction. The project documents all major components of the corporate cashflow modeling environment, including capital structure, pricing curves, interest rate term structure models, credit risk, sales and marketing, operations/production scheduling and flows, revenue forecasts, staffing, taxes, capital expenditures, depreciation, portfolio investments, hedging transactions, valuation analytics, value-at-risk, default terms, and real options.</w:t>
      </w:r>
    </w:p>
    <w:p>
      <w:pPr>
        <w:pStyle w:val="Normal"/>
        <w:spacing w:before="120" w:after="120"/>
        <w:jc w:val="both"/>
        <w:rPr>
          <w:rFonts w:ascii="Antique Olive Roman" w:hAnsi="Antique Olive Roman" w:eastAsia="Antique Olive Roman" w:cs="Antique Olive Roman"/>
          <w:b/>
          <w:bCs/>
          <w:sz w:val="22"/>
          <w:szCs w:val="22"/>
        </w:rPr>
      </w:pPr>
      <w:r>
        <w:rPr>
          <w:rFonts w:eastAsia="Antique Olive Roman" w:cs="Antique Olive Roman" w:ascii="Antique Olive Roman" w:hAnsi="Antique Olive Roman"/>
          <w:b/>
          <w:bCs/>
          <w:sz w:val="22"/>
          <w:szCs w:val="22"/>
        </w:rPr>
        <w:t>Training Programs &amp; Research Conferences Attended:</w:t>
        <w:tab/>
      </w:r>
    </w:p>
    <w:p>
      <w:pPr>
        <w:pStyle w:val="Normal"/>
        <w:numPr>
          <w:ilvl w:val="0"/>
          <w:numId w:val="10"/>
        </w:numPr>
        <w:tabs>
          <w:tab w:val="clear" w:pos="720"/>
          <w:tab w:val="left" w:pos="0" w:leader="none"/>
          <w:tab w:val="left" w:pos="360" w:leader="none"/>
        </w:tabs>
        <w:spacing w:before="0" w:after="60"/>
        <w:ind w:hanging="720" w:start="1080" w:end="0"/>
        <w:jc w:val="both"/>
        <w:rPr>
          <w:rFonts w:ascii="Palatino" w:hAnsi="Palatino" w:eastAsia="Palatino" w:cs="Palatino"/>
          <w:b/>
          <w:bCs/>
          <w:sz w:val="22"/>
          <w:szCs w:val="22"/>
        </w:rPr>
      </w:pPr>
      <w:r>
        <w:rPr>
          <w:rFonts w:eastAsia="Palatino" w:cs="Palatino" w:ascii="Palatino" w:hAnsi="Palatino"/>
          <w:b/>
          <w:bCs/>
          <w:sz w:val="22"/>
          <w:szCs w:val="22"/>
        </w:rPr>
        <w:t>KPMG World Class Finance Balanced Scorecard Training, December 2000.</w:t>
      </w:r>
    </w:p>
    <w:p>
      <w:pPr>
        <w:pStyle w:val="Normal"/>
        <w:numPr>
          <w:ilvl w:val="0"/>
          <w:numId w:val="10"/>
        </w:numPr>
        <w:tabs>
          <w:tab w:val="clear" w:pos="720"/>
          <w:tab w:val="left" w:pos="0" w:leader="none"/>
          <w:tab w:val="left" w:pos="360" w:leader="none"/>
        </w:tabs>
        <w:spacing w:before="0" w:after="60"/>
        <w:ind w:hanging="720" w:start="1080" w:end="0"/>
        <w:jc w:val="both"/>
        <w:rPr>
          <w:rFonts w:ascii="Palatino" w:hAnsi="Palatino" w:eastAsia="Palatino" w:cs="Palatino"/>
          <w:b/>
          <w:bCs/>
          <w:sz w:val="22"/>
          <w:szCs w:val="22"/>
        </w:rPr>
      </w:pPr>
      <w:r>
        <w:rPr>
          <w:rFonts w:eastAsia="Palatino" w:cs="Palatino" w:ascii="Palatino" w:hAnsi="Palatino"/>
          <w:b/>
          <w:bCs/>
          <w:sz w:val="22"/>
          <w:szCs w:val="22"/>
        </w:rPr>
        <w:t>Cisco Service Provider Market Fundamentals Class, 27 CPE Credits, October 2000.</w:t>
      </w:r>
    </w:p>
    <w:p>
      <w:pPr>
        <w:pStyle w:val="Normal"/>
        <w:numPr>
          <w:ilvl w:val="0"/>
          <w:numId w:val="10"/>
        </w:numPr>
        <w:tabs>
          <w:tab w:val="clear" w:pos="720"/>
          <w:tab w:val="left" w:pos="0" w:leader="none"/>
          <w:tab w:val="left" w:pos="360" w:leader="none"/>
        </w:tabs>
        <w:spacing w:before="0" w:after="60"/>
        <w:ind w:hanging="720" w:start="1080" w:end="0"/>
        <w:jc w:val="both"/>
        <w:rPr>
          <w:rFonts w:ascii="Palatino" w:hAnsi="Palatino" w:eastAsia="Palatino" w:cs="Palatino"/>
          <w:b/>
          <w:bCs/>
          <w:sz w:val="22"/>
          <w:szCs w:val="22"/>
        </w:rPr>
      </w:pPr>
      <w:r>
        <w:rPr>
          <w:rFonts w:eastAsia="Palatino" w:cs="Palatino" w:ascii="Palatino" w:hAnsi="Palatino"/>
          <w:b/>
          <w:bCs/>
          <w:sz w:val="22"/>
          <w:szCs w:val="22"/>
        </w:rPr>
        <w:t>KPMG/DigitalThink Internet 101 Class, 23 CPE Credits, August 2000.</w:t>
      </w:r>
    </w:p>
    <w:p>
      <w:pPr>
        <w:pStyle w:val="Normal"/>
        <w:numPr>
          <w:ilvl w:val="0"/>
          <w:numId w:val="10"/>
        </w:numPr>
        <w:tabs>
          <w:tab w:val="clear" w:pos="720"/>
          <w:tab w:val="left" w:pos="0" w:leader="none"/>
          <w:tab w:val="left" w:pos="360" w:leader="none"/>
        </w:tabs>
        <w:spacing w:before="0" w:after="60"/>
        <w:ind w:hanging="720" w:start="1080" w:end="0"/>
        <w:jc w:val="both"/>
        <w:rPr/>
      </w:pPr>
      <w:r>
        <w:rPr>
          <w:rFonts w:eastAsia="Palatino" w:cs="Palatino" w:ascii="Palatino" w:hAnsi="Palatino"/>
          <w:b/>
          <w:bCs/>
          <w:sz w:val="22"/>
          <w:szCs w:val="22"/>
        </w:rPr>
        <w:t>Developing, Integrating, and Applying Information Technology for Effective Risk Management</w:t>
      </w:r>
      <w:r>
        <w:rPr>
          <w:rFonts w:eastAsia="Palatino" w:cs="Palatino" w:ascii="Palatino" w:hAnsi="Palatino"/>
          <w:sz w:val="22"/>
          <w:szCs w:val="22"/>
        </w:rPr>
        <w:t>, Risk Conferences, New York, November 4-5, 1996.</w:t>
      </w:r>
    </w:p>
    <w:p>
      <w:pPr>
        <w:pStyle w:val="Normal"/>
        <w:numPr>
          <w:ilvl w:val="0"/>
          <w:numId w:val="10"/>
        </w:numPr>
        <w:tabs>
          <w:tab w:val="clear" w:pos="720"/>
          <w:tab w:val="left" w:pos="0" w:leader="none"/>
          <w:tab w:val="left" w:pos="360" w:leader="none"/>
        </w:tabs>
        <w:spacing w:before="0" w:after="60"/>
        <w:ind w:hanging="720" w:start="1080" w:end="0"/>
        <w:jc w:val="both"/>
        <w:rPr/>
      </w:pPr>
      <w:r>
        <w:rPr>
          <w:rFonts w:eastAsia="Palatino" w:cs="Palatino" w:ascii="Palatino" w:hAnsi="Palatino"/>
          <w:b/>
          <w:bCs/>
          <w:sz w:val="22"/>
          <w:szCs w:val="22"/>
        </w:rPr>
        <w:t>Derivatives and their Risks, an Intermediate Class for Internal Auditors</w:t>
      </w:r>
      <w:r>
        <w:rPr>
          <w:rFonts w:eastAsia="Palatino" w:cs="Palatino" w:ascii="Palatino" w:hAnsi="Palatino"/>
          <w:sz w:val="22"/>
          <w:szCs w:val="22"/>
        </w:rPr>
        <w:t>, Risk Conferences, New York, October 17-18, 1996.</w:t>
      </w:r>
    </w:p>
    <w:p>
      <w:pPr>
        <w:pStyle w:val="Normal"/>
        <w:numPr>
          <w:ilvl w:val="0"/>
          <w:numId w:val="10"/>
        </w:numPr>
        <w:tabs>
          <w:tab w:val="clear" w:pos="720"/>
          <w:tab w:val="left" w:pos="0" w:leader="none"/>
          <w:tab w:val="left" w:pos="360" w:leader="none"/>
        </w:tabs>
        <w:spacing w:before="0" w:after="60"/>
        <w:ind w:hanging="720" w:start="1080" w:end="0"/>
        <w:jc w:val="both"/>
        <w:rPr/>
      </w:pPr>
      <w:r>
        <w:rPr>
          <w:rFonts w:eastAsia="Palatino" w:cs="Palatino" w:ascii="Palatino" w:hAnsi="Palatino"/>
          <w:b/>
          <w:bCs/>
          <w:sz w:val="22"/>
          <w:szCs w:val="22"/>
        </w:rPr>
        <w:t>Financial Evaluation and Risk Analysis: RAROC Training</w:t>
      </w:r>
      <w:r>
        <w:rPr>
          <w:rFonts w:eastAsia="Palatino" w:cs="Palatino" w:ascii="Palatino" w:hAnsi="Palatino"/>
          <w:sz w:val="22"/>
          <w:szCs w:val="22"/>
        </w:rPr>
        <w:t>, Enron Capital &amp; Trade Resources, Houston, July 1996.</w:t>
      </w:r>
    </w:p>
    <w:p>
      <w:pPr>
        <w:pStyle w:val="Normal"/>
        <w:numPr>
          <w:ilvl w:val="0"/>
          <w:numId w:val="10"/>
        </w:numPr>
        <w:tabs>
          <w:tab w:val="clear" w:pos="720"/>
          <w:tab w:val="left" w:pos="0" w:leader="none"/>
          <w:tab w:val="left" w:pos="360" w:leader="none"/>
        </w:tabs>
        <w:spacing w:before="0" w:after="60"/>
        <w:ind w:hanging="720" w:start="1080" w:end="0"/>
        <w:jc w:val="both"/>
        <w:rPr/>
      </w:pPr>
      <w:r>
        <w:rPr>
          <w:rFonts w:eastAsia="Palatino" w:cs="Palatino" w:ascii="Palatino" w:hAnsi="Palatino"/>
          <w:b/>
          <w:bCs/>
          <w:sz w:val="22"/>
          <w:szCs w:val="22"/>
        </w:rPr>
        <w:t>Identifying, Measuring, and Managing Market Risk, Risk Conferences</w:t>
      </w:r>
      <w:r>
        <w:rPr>
          <w:rFonts w:eastAsia="Palatino" w:cs="Palatino" w:ascii="Palatino" w:hAnsi="Palatino"/>
          <w:sz w:val="22"/>
          <w:szCs w:val="22"/>
        </w:rPr>
        <w:t>, New York, March 11-13, 1996.</w:t>
      </w:r>
    </w:p>
    <w:p>
      <w:pPr>
        <w:pStyle w:val="Normal"/>
        <w:numPr>
          <w:ilvl w:val="0"/>
          <w:numId w:val="10"/>
        </w:numPr>
        <w:tabs>
          <w:tab w:val="clear" w:pos="720"/>
          <w:tab w:val="left" w:pos="0" w:leader="none"/>
          <w:tab w:val="left" w:pos="360" w:leader="none"/>
        </w:tabs>
        <w:spacing w:before="0" w:after="120"/>
        <w:ind w:hanging="720" w:start="1080" w:end="0"/>
        <w:jc w:val="both"/>
        <w:rPr/>
      </w:pPr>
      <w:r>
        <w:rPr>
          <w:rFonts w:eastAsia="Palatino" w:cs="Palatino" w:ascii="Palatino" w:hAnsi="Palatino"/>
          <w:b/>
          <w:bCs/>
          <w:sz w:val="22"/>
          <w:szCs w:val="22"/>
        </w:rPr>
        <w:t>McIntire International Finance &amp; Banking Program</w:t>
      </w:r>
      <w:r>
        <w:rPr>
          <w:rFonts w:eastAsia="Palatino" w:cs="Palatino" w:ascii="Palatino" w:hAnsi="Palatino"/>
          <w:sz w:val="22"/>
          <w:szCs w:val="22"/>
        </w:rPr>
        <w:t>: Summer 1992.</w:t>
      </w:r>
    </w:p>
    <w:p>
      <w:pPr>
        <w:pStyle w:val="Normal"/>
        <w:spacing w:before="0" w:after="120"/>
        <w:jc w:val="both"/>
        <w:rPr>
          <w:rFonts w:ascii="Antique Olive Roman" w:hAnsi="Antique Olive Roman" w:eastAsia="Antique Olive Roman" w:cs="Antique Olive Roman"/>
          <w:b/>
          <w:bCs/>
          <w:sz w:val="22"/>
          <w:szCs w:val="22"/>
        </w:rPr>
      </w:pPr>
      <w:r>
        <w:rPr>
          <w:rFonts w:eastAsia="Antique Olive Roman" w:cs="Antique Olive Roman" w:ascii="Antique Olive Roman" w:hAnsi="Antique Olive Roman"/>
          <w:b/>
          <w:bCs/>
          <w:sz w:val="22"/>
          <w:szCs w:val="22"/>
        </w:rPr>
        <w:t>Media Experience:</w:t>
        <w:tab/>
      </w:r>
    </w:p>
    <w:p>
      <w:pPr>
        <w:pStyle w:val="Normal"/>
        <w:jc w:val="both"/>
        <w:rPr/>
      </w:pPr>
      <w:r>
        <w:rPr>
          <w:rFonts w:eastAsia="Palatino" w:cs="Palatino" w:ascii="Palatino" w:hAnsi="Palatino"/>
          <w:sz w:val="22"/>
          <w:szCs w:val="22"/>
        </w:rPr>
        <w:t xml:space="preserve">Experience managing press and PR firm relations, communicating with the media, and developing PR spins. Media experience includes appearances on TV and radio shows and quotes or stories placed in a variety of publications, including: </w:t>
      </w:r>
      <w:r>
        <w:rPr>
          <w:rFonts w:eastAsia="Palatino" w:cs="Palatino" w:ascii="Palatino" w:hAnsi="Palatino"/>
          <w:i/>
          <w:iCs/>
          <w:sz w:val="22"/>
          <w:szCs w:val="22"/>
        </w:rPr>
        <w:t>Bloomberg</w:t>
      </w:r>
      <w:r>
        <w:rPr>
          <w:rFonts w:eastAsia="Palatino" w:cs="Palatino" w:ascii="Palatino" w:hAnsi="Palatino"/>
          <w:sz w:val="22"/>
          <w:szCs w:val="22"/>
        </w:rPr>
        <w:t xml:space="preserve">, </w:t>
      </w:r>
      <w:r>
        <w:rPr>
          <w:rFonts w:eastAsia="Palatino" w:cs="Palatino" w:ascii="Palatino" w:hAnsi="Palatino"/>
          <w:i/>
          <w:iCs/>
          <w:sz w:val="22"/>
          <w:szCs w:val="22"/>
        </w:rPr>
        <w:t>Cincinnati Enquirer</w:t>
      </w:r>
      <w:r>
        <w:rPr>
          <w:rFonts w:eastAsia="Palatino" w:cs="Palatino" w:ascii="Palatino" w:hAnsi="Palatino"/>
          <w:sz w:val="22"/>
          <w:szCs w:val="22"/>
        </w:rPr>
        <w:t xml:space="preserve">, CNBC, </w:t>
      </w:r>
      <w:r>
        <w:rPr>
          <w:rFonts w:eastAsia="Palatino" w:cs="Palatino" w:ascii="Palatino" w:hAnsi="Palatino"/>
          <w:i/>
          <w:iCs/>
          <w:sz w:val="22"/>
          <w:szCs w:val="22"/>
        </w:rPr>
        <w:t>The Dallas Morning News</w:t>
      </w:r>
      <w:r>
        <w:rPr>
          <w:rFonts w:eastAsia="Palatino" w:cs="Palatino" w:ascii="Palatino" w:hAnsi="Palatino"/>
          <w:sz w:val="22"/>
          <w:szCs w:val="22"/>
        </w:rPr>
        <w:t xml:space="preserve">, </w:t>
      </w:r>
      <w:r>
        <w:rPr>
          <w:rFonts w:eastAsia="Palatino" w:cs="Palatino" w:ascii="Palatino" w:hAnsi="Palatino"/>
          <w:i/>
          <w:iCs/>
          <w:sz w:val="22"/>
          <w:szCs w:val="22"/>
        </w:rPr>
        <w:t>Forbes</w:t>
      </w:r>
      <w:r>
        <w:rPr>
          <w:rFonts w:eastAsia="Palatino" w:cs="Palatino" w:ascii="Palatino" w:hAnsi="Palatino"/>
          <w:sz w:val="22"/>
          <w:szCs w:val="22"/>
        </w:rPr>
        <w:t>,</w:t>
      </w:r>
      <w:r>
        <w:rPr>
          <w:rFonts w:eastAsia="Palatino" w:cs="Palatino" w:ascii="Palatino" w:hAnsi="Palatino"/>
          <w:i/>
          <w:iCs/>
          <w:sz w:val="22"/>
          <w:szCs w:val="22"/>
        </w:rPr>
        <w:t xml:space="preserve"> Houston Post, Investor’s Business Daily</w:t>
      </w:r>
      <w:r>
        <w:rPr>
          <w:rFonts w:eastAsia="Palatino" w:cs="Palatino" w:ascii="Palatino" w:hAnsi="Palatino"/>
          <w:sz w:val="22"/>
          <w:szCs w:val="22"/>
        </w:rPr>
        <w:t xml:space="preserve">, PBS Nightly Business Report,  and </w:t>
      </w:r>
      <w:r>
        <w:rPr>
          <w:rFonts w:eastAsia="Palatino" w:cs="Palatino" w:ascii="Palatino" w:hAnsi="Palatino"/>
          <w:i/>
          <w:iCs/>
          <w:sz w:val="22"/>
          <w:szCs w:val="22"/>
        </w:rPr>
        <w:t>USA Today</w:t>
      </w:r>
      <w:r>
        <w:rPr>
          <w:rFonts w:eastAsia="Palatino" w:cs="Palatino" w:ascii="Palatino" w:hAnsi="Palatino"/>
          <w:sz w:val="22"/>
          <w:szCs w:val="22"/>
        </w:rPr>
        <w:t>.</w:t>
      </w:r>
    </w:p>
    <w:sectPr>
      <w:type w:val="continuous"/>
      <w:pgSz w:w="12240" w:h="15840"/>
      <w:pgMar w:left="1440" w:right="1440" w:gutter="0" w:header="720" w:top="1440" w:footer="0" w:bottom="1440"/>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vantGarde">
    <w:charset w:val="01"/>
    <w:family w:val="swiss"/>
    <w:pitch w:val="variable"/>
  </w:font>
  <w:font w:name="Liberation Sans">
    <w:altName w:val="Arial"/>
    <w:charset w:val="01" w:characterSet="utf-8"/>
    <w:family w:val="swiss"/>
    <w:pitch w:val="variable"/>
  </w:font>
  <w:font w:name="Arial">
    <w:charset w:val="01"/>
    <w:family w:val="swiss"/>
    <w:pitch w:val="variable"/>
  </w:font>
  <w:font w:name="Palatino">
    <w:charset w:val="01"/>
    <w:family w:val="roman"/>
    <w:pitch w:val="variable"/>
  </w:font>
  <w:font w:name="Antique Olive Roman">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040" w:leader="none"/>
        <w:tab w:val="right" w:pos="9810" w:leader="none"/>
      </w:tabs>
      <w:rPr/>
    </w:pPr>
    <w:r>
      <w:rPr>
        <w:rFonts w:eastAsia="Palatino" w:cs="Palatino" w:ascii="Palatino" w:hAnsi="Palatino"/>
      </w:rPr>
      <w:t>Richard Peyton George</w:t>
      <w:tab/>
    </w:r>
    <w:r>
      <w:rPr>
        <w:rStyle w:val="PageNumber"/>
        <w:rFonts w:eastAsia="Palatino" w:cs="Palatino" w:ascii="Palatino" w:hAnsi="Palatino"/>
      </w:rPr>
      <w:fldChar w:fldCharType="begin"/>
    </w:r>
    <w:r>
      <w:rPr>
        <w:rStyle w:val="PageNumber"/>
        <w:rFonts w:eastAsia="Palatino" w:cs="Palatino" w:ascii="Palatino" w:hAnsi="Palatino"/>
      </w:rPr>
      <w:instrText xml:space="preserve"> PAGE </w:instrText>
    </w:r>
    <w:r>
      <w:rPr>
        <w:rStyle w:val="PageNumber"/>
        <w:rFonts w:eastAsia="Palatino" w:cs="Palatino" w:ascii="Palatino" w:hAnsi="Palatino"/>
      </w:rPr>
      <w:fldChar w:fldCharType="separate"/>
    </w:r>
    <w:r>
      <w:rPr>
        <w:rStyle w:val="PageNumber"/>
        <w:rFonts w:eastAsia="Palatino" w:cs="Palatino" w:ascii="Palatino" w:hAnsi="Palatino"/>
      </w:rPr>
      <w:t>4</w:t>
    </w:r>
    <w:r>
      <w:rPr>
        <w:rStyle w:val="PageNumber"/>
        <w:rFonts w:eastAsia="Palatino" w:cs="Palatino" w:ascii="Palatino" w:hAnsi="Palatino"/>
      </w:rPr>
      <w:fldChar w:fldCharType="end"/>
    </w:r>
    <w:r>
      <w:rPr>
        <w:rStyle w:val="PageNumber"/>
        <w:rFonts w:eastAsia="Palatino" w:cs="Palatino" w:ascii="Palatino" w:hAnsi="Palatino"/>
      </w:rPr>
      <w:tab/>
      <w:t xml:space="preserve">                            Resume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2970" w:start="2430" w:end="-540"/>
      <w:jc w:val="center"/>
      <w:outlineLvl w:val="0"/>
    </w:pPr>
    <w:rPr>
      <w:rFonts w:ascii="AvantGarde" w:hAnsi="AvantGarde" w:eastAsia="AvantGarde" w:cs="AvantGarde"/>
      <w:b/>
      <w:bCs/>
      <w:sz w:val="32"/>
      <w:szCs w:val="32"/>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chievement">
    <w:name w:val="Achievement"/>
    <w:basedOn w:val="BodyText"/>
    <w:qFormat/>
    <w:pPr>
      <w:ind w:hanging="0" w:start="-1080" w:end="1080"/>
    </w:pPr>
    <w:rPr>
      <w:rFonts w:ascii="Arial" w:hAnsi="Arial" w:eastAsia="Arial" w:cs="Arial"/>
      <w:smallCaps/>
      <w:spacing w:val="20"/>
    </w:rPr>
  </w:style>
  <w:style w:type="paragraph" w:styleId="Address">
    <w:name w:val="Address"/>
    <w:basedOn w:val="BodyText"/>
    <w:qFormat/>
    <w:pPr>
      <w:keepLines/>
      <w:spacing w:before="0" w:after="0"/>
      <w:ind w:hanging="0" w:start="-1800" w:end="1080"/>
      <w:jc w:val="center"/>
    </w:pPr>
    <w:rPr>
      <w:rFonts w:ascii="Arial" w:hAnsi="Arial" w:eastAsia="Arial" w:cs="Arial"/>
      <w:i/>
      <w:iCs/>
      <w:sz w:val="22"/>
      <w:szCs w:val="22"/>
    </w:rPr>
  </w:style>
  <w:style w:type="paragraph" w:styleId="CityState">
    <w:name w:val="City/State"/>
    <w:basedOn w:val="BodyText"/>
    <w:qFormat/>
    <w:pPr>
      <w:keepNext w:val="true"/>
      <w:spacing w:before="0" w:after="0"/>
      <w:ind w:hanging="0" w:start="-1800" w:end="1080"/>
    </w:pPr>
    <w:rPr>
      <w:rFonts w:ascii="Arial" w:hAnsi="Arial" w:eastAsia="Arial" w:cs="Arial"/>
      <w:sz w:val="22"/>
      <w:szCs w:val="22"/>
    </w:rPr>
  </w:style>
  <w:style w:type="paragraph" w:styleId="Date">
    <w:name w:val="Date"/>
    <w:basedOn w:val="BodyText"/>
    <w:qFormat/>
    <w:pPr>
      <w:keepNext w:val="true"/>
      <w:ind w:hanging="0" w:start="0" w:end="1080"/>
      <w:jc w:val="end"/>
    </w:pPr>
    <w:rPr>
      <w:rFonts w:ascii="Arial" w:hAnsi="Arial" w:eastAsia="Arial" w:cs="Arial"/>
      <w:i/>
      <w:iCs/>
      <w:sz w:val="22"/>
      <w:szCs w:val="22"/>
    </w:rPr>
  </w:style>
  <w:style w:type="paragraph" w:styleId="Institution">
    <w:name w:val="Institution"/>
    <w:basedOn w:val="BodyText"/>
    <w:qFormat/>
    <w:pPr>
      <w:keepNext w:val="true"/>
      <w:spacing w:lineRule="exact" w:line="260" w:before="120" w:after="0"/>
      <w:ind w:hanging="0" w:start="-1800" w:end="1080"/>
    </w:pPr>
    <w:rPr>
      <w:rFonts w:ascii="Arial" w:hAnsi="Arial" w:eastAsia="Arial" w:cs="Arial"/>
      <w:b/>
      <w:bCs/>
      <w:sz w:val="22"/>
      <w:szCs w:val="22"/>
    </w:rPr>
  </w:style>
  <w:style w:type="paragraph" w:styleId="Name">
    <w:name w:val="Name"/>
    <w:basedOn w:val="BodyText"/>
    <w:qFormat/>
    <w:pPr>
      <w:spacing w:before="120" w:after="0"/>
      <w:ind w:hanging="0" w:start="-1800" w:end="1080"/>
      <w:jc w:val="center"/>
    </w:pPr>
    <w:rPr>
      <w:rFonts w:ascii="Arial" w:hAnsi="Arial" w:eastAsia="Arial" w:cs="Arial"/>
      <w:b/>
      <w:bCs/>
      <w:i/>
      <w:iCs/>
      <w:sz w:val="24"/>
      <w:szCs w:val="24"/>
    </w:rPr>
  </w:style>
  <w:style w:type="paragraph" w:styleId="Objective">
    <w:name w:val="Objective"/>
    <w:basedOn w:val="BodyText"/>
    <w:qFormat/>
    <w:pPr>
      <w:pBdr>
        <w:top w:val="single" w:sz="6" w:space="6" w:color="000000"/>
      </w:pBdr>
      <w:spacing w:lineRule="exact" w:line="280" w:before="240" w:after="120"/>
      <w:ind w:hanging="0" w:start="-1800" w:end="1080"/>
      <w:jc w:val="both"/>
    </w:pPr>
    <w:rPr>
      <w:rFonts w:ascii="Arial" w:hAnsi="Arial" w:eastAsia="Arial" w:cs="Arial"/>
      <w:sz w:val="22"/>
      <w:szCs w:val="22"/>
    </w:rPr>
  </w:style>
  <w:style w:type="paragraph" w:styleId="SectionTitle">
    <w:name w:val="Section Title"/>
    <w:basedOn w:val="Normal"/>
    <w:qFormat/>
    <w:pPr>
      <w:keepNext w:val="true"/>
      <w:keepLines/>
      <w:pBdr>
        <w:top w:val="single" w:sz="6" w:space="6" w:color="000000"/>
      </w:pBdr>
      <w:spacing w:lineRule="exact" w:line="260" w:before="120" w:after="120"/>
      <w:ind w:hanging="0" w:start="-1800" w:end="1080"/>
      <w:jc w:val="center"/>
    </w:pPr>
    <w:rPr>
      <w:rFonts w:ascii="Arial" w:hAnsi="Arial" w:eastAsia="Arial" w:cs="Arial"/>
      <w:smallCaps/>
      <w:spacing w:val="120"/>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2000-11-01T22:30:00Z</dcterms:created>
  <dc:creator>Richard Peyton George</dc:creator>
  <dc:description/>
  <dc:language>en-CA</dc:language>
  <cp:lastModifiedBy>Richard George</cp:lastModifiedBy>
  <cp:lastPrinted>2000-12-07T22:02:00Z</cp:lastPrinted>
  <dcterms:modified xsi:type="dcterms:W3CDTF">2000-12-08T14:34:00Z</dcterms:modified>
  <cp:revision>40</cp:revision>
  <dc:subject/>
  <dc:title>Richard Peyton George</dc:title>
</cp:coreProperties>
</file>