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 xml:space="preserve">UNITED STATES OF AMERICA </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t>Before Commissioners:   James J. Hoecker, Chairman;</w:t>
      </w:r>
    </w:p>
    <w:p>
      <w:pPr>
        <w:pStyle w:val="Normal"/>
        <w:widowControl/>
        <w:ind w:firstLine="2160" w:end="0"/>
        <w:rPr>
          <w:sz w:val="26"/>
        </w:rPr>
      </w:pPr>
      <w:r>
        <w:rPr>
          <w:sz w:val="26"/>
        </w:rPr>
        <w:t xml:space="preserve">       </w:t>
      </w:r>
      <w:r>
        <w:rPr>
          <w:sz w:val="26"/>
        </w:rPr>
        <w:t xml:space="preserve">William L. Massey, Linda Breathitt,  </w:t>
      </w:r>
    </w:p>
    <w:p>
      <w:pPr>
        <w:pStyle w:val="Normal"/>
        <w:widowControl/>
        <w:ind w:firstLine="2160" w:end="0"/>
        <w:rPr>
          <w:sz w:val="26"/>
        </w:rPr>
      </w:pPr>
      <w:r>
        <w:rPr>
          <w:sz w:val="26"/>
        </w:rPr>
        <w:t xml:space="preserve">       </w:t>
      </w:r>
      <w:r>
        <w:rPr>
          <w:sz w:val="26"/>
        </w:rPr>
        <w:t xml:space="preserve">and Curt Hébert, Jr.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Amoco Energy Trading Corporation,                                   Docket No. RP99-507-003</w:t>
      </w:r>
    </w:p>
    <w:p>
      <w:pPr>
        <w:pStyle w:val="Normal"/>
        <w:widowControl/>
        <w:rPr>
          <w:sz w:val="26"/>
        </w:rPr>
      </w:pPr>
      <w:r>
        <w:rPr>
          <w:sz w:val="26"/>
        </w:rPr>
        <w:t>Amoco Production Company, and Burlington</w:t>
      </w:r>
    </w:p>
    <w:p>
      <w:pPr>
        <w:pStyle w:val="Normal"/>
        <w:widowControl/>
        <w:rPr>
          <w:sz w:val="26"/>
        </w:rPr>
      </w:pPr>
      <w:r>
        <w:rPr>
          <w:sz w:val="26"/>
        </w:rPr>
        <w:t>Resources Oil &amp; Gas Company</w:t>
      </w:r>
    </w:p>
    <w:p>
      <w:pPr>
        <w:pStyle w:val="Normal"/>
        <w:widowControl/>
        <w:rPr>
          <w:sz w:val="26"/>
        </w:rPr>
      </w:pPr>
      <w:r>
        <w:rPr>
          <w:sz w:val="26"/>
        </w:rPr>
      </w:r>
    </w:p>
    <w:p>
      <w:pPr>
        <w:pStyle w:val="Normal"/>
        <w:widowControl/>
        <w:ind w:firstLine="1440" w:end="0"/>
        <w:rPr>
          <w:sz w:val="26"/>
        </w:rPr>
      </w:pPr>
      <w:r>
        <w:rPr>
          <w:sz w:val="26"/>
        </w:rPr>
        <w:t>v.</w:t>
      </w:r>
    </w:p>
    <w:p>
      <w:pPr>
        <w:pStyle w:val="Normal"/>
        <w:widowControl/>
        <w:rPr>
          <w:sz w:val="26"/>
        </w:rPr>
      </w:pPr>
      <w:r>
        <w:rPr>
          <w:sz w:val="26"/>
        </w:rPr>
      </w:r>
    </w:p>
    <w:p>
      <w:pPr>
        <w:pStyle w:val="Normal"/>
        <w:widowControl/>
        <w:rPr>
          <w:sz w:val="26"/>
        </w:rPr>
      </w:pPr>
      <w:r>
        <w:rPr>
          <w:sz w:val="26"/>
        </w:rPr>
        <w:t>El Paso Natural Gas Company</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KN Marketing, L.P.                                                               Docket No. RP00-139-001</w:t>
      </w:r>
    </w:p>
    <w:p>
      <w:pPr>
        <w:pStyle w:val="Normal"/>
        <w:widowControl/>
        <w:rPr>
          <w:sz w:val="26"/>
        </w:rPr>
      </w:pPr>
      <w:r>
        <w:rPr>
          <w:sz w:val="26"/>
        </w:rPr>
        <w:t xml:space="preserve">                                                                                                </w:t>
      </w:r>
      <w:r>
        <w:rPr>
          <w:sz w:val="26"/>
        </w:rPr>
        <w:t xml:space="preserve">(Consolidated) </w:t>
      </w:r>
    </w:p>
    <w:p>
      <w:pPr>
        <w:pStyle w:val="Normal"/>
        <w:widowControl/>
        <w:ind w:firstLine="1440" w:end="0"/>
        <w:rPr>
          <w:sz w:val="26"/>
        </w:rPr>
      </w:pPr>
      <w:r>
        <w:rPr>
          <w:sz w:val="26"/>
        </w:rPr>
        <w:t>v.</w:t>
      </w:r>
    </w:p>
    <w:p>
      <w:pPr>
        <w:pStyle w:val="Normal"/>
        <w:widowControl/>
        <w:rPr>
          <w:sz w:val="26"/>
        </w:rPr>
      </w:pPr>
      <w:r>
        <w:rPr>
          <w:sz w:val="26"/>
        </w:rPr>
      </w:r>
    </w:p>
    <w:p>
      <w:pPr>
        <w:pStyle w:val="Normal"/>
        <w:widowControl/>
        <w:rPr>
          <w:sz w:val="26"/>
        </w:rPr>
      </w:pPr>
      <w:r>
        <w:rPr>
          <w:sz w:val="26"/>
        </w:rPr>
        <w:t xml:space="preserve">El Paso Natural Gas Company  </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 xml:space="preserve">ORDER GRANTING EXTENSION OF TIME  </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January 9, 2001)</w:t>
      </w:r>
    </w:p>
    <w:p>
      <w:pPr>
        <w:pStyle w:val="Normal"/>
        <w:widowControl/>
        <w:tabs>
          <w:tab w:val="clear" w:pos="720"/>
          <w:tab w:val="center" w:pos="4680" w:leader="none"/>
        </w:tabs>
        <w:rPr>
          <w:sz w:val="26"/>
        </w:rPr>
      </w:pPr>
      <w:r>
        <w:rPr>
          <w:sz w:val="26"/>
        </w:rPr>
        <w:tab/>
      </w:r>
    </w:p>
    <w:p>
      <w:pPr>
        <w:pStyle w:val="Normal"/>
        <w:widowControl/>
        <w:ind w:firstLine="720" w:end="0"/>
        <w:rPr/>
      </w:pPr>
      <w:r>
        <w:rPr>
          <w:sz w:val="26"/>
        </w:rPr>
        <w:t>On October 25, 2000, the Commission issued an order addressing a complaint filed by Amoco Energy Trading Corporation,  Amoco Production Company, and Burlington Resources Oil &amp; Gas Company (Amoco and Burlington) concerning the manner in which El Paso Natural Gas Company (El Paso) allocates firm capacity at El Paso's Topock delivery points and a complaint filed by KN Marketing, L.P. (KN Marketing) concerning the manner in which El Paso allocates mainline capacity on the East End of its system from the San Juan Basin to Texas.</w:t>
      </w:r>
      <w:r>
        <w:rPr>
          <w:rStyle w:val="FootnoteCharacters"/>
          <w:rStyle w:val="FootnoteReference"/>
          <w:b/>
          <w:sz w:val="31"/>
          <w:vertAlign w:val="superscript"/>
        </w:rPr>
        <w:footnoteReference w:id="2"/>
      </w:r>
      <w:r>
        <w:rPr>
          <w:sz w:val="26"/>
        </w:rPr>
        <w:t xml:space="preserve">  With respect to the Amoco and Burlington complaint, the order found that El Paso's method of allocating delivery point capacity at Topock is unjust and unreasonable and directed El Paso to file a revised allocation method.  The Commission required El Paso to engage in a multi-step process </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sz w:val="26"/>
        </w:rPr>
      </w:pPr>
      <w:r>
        <w:rPr>
          <w:sz w:val="26"/>
        </w:rPr>
        <w:t xml:space="preserve">to assign capacity at the Topock delivery points to each shipper with firm delivery rights by means of a one-time election by the shippers that have firm contract rights to the delivery points based on their current contract entitlements. With respect to the KN Marketing complaint, the order held the issues in abeyance pending the outcome of the reallocation process that is required to remedy the Amoco and Burlington complaint and the resolution of capacity segmentation issues in El Paso's Order No. 637 compliance filing.  </w:t>
      </w:r>
    </w:p>
    <w:p>
      <w:pPr>
        <w:pStyle w:val="Normal"/>
        <w:widowControl/>
        <w:rPr>
          <w:sz w:val="26"/>
        </w:rPr>
      </w:pPr>
      <w:r>
        <w:rPr>
          <w:sz w:val="26"/>
        </w:rPr>
      </w:r>
    </w:p>
    <w:p>
      <w:pPr>
        <w:pStyle w:val="Normal"/>
        <w:widowControl/>
        <w:ind w:firstLine="720" w:end="0"/>
        <w:rPr>
          <w:sz w:val="26"/>
        </w:rPr>
      </w:pPr>
      <w:r>
        <w:rPr>
          <w:sz w:val="26"/>
        </w:rPr>
        <w:t>A request for expedited clarification and limited stay was filed by Southern California Gas Company (SoCal) on November 6, 2000, and a request for expedited clarification was filed by Indicated Shippers on November 6, 2000.   On November 27, 2000, the Commission issued an order clarifying the reallocation process, denying the Indicated Shippers' request to exclude certain shippers from the reallocation process,  and extending implementation of the reallocation process until February 1, 2001.</w:t>
      </w:r>
      <w:r>
        <w:rPr>
          <w:rStyle w:val="FootnoteCharacters"/>
          <w:rStyle w:val="FootnoteReference"/>
          <w:b/>
          <w:sz w:val="31"/>
          <w:vertAlign w:val="superscript"/>
        </w:rPr>
        <w:footnoteReference w:id="3"/>
      </w:r>
    </w:p>
    <w:p>
      <w:pPr>
        <w:pStyle w:val="Normal"/>
        <w:widowControl/>
        <w:rPr>
          <w:sz w:val="26"/>
        </w:rPr>
      </w:pPr>
      <w:r>
        <w:rPr>
          <w:sz w:val="26"/>
        </w:rPr>
      </w:r>
    </w:p>
    <w:p>
      <w:pPr>
        <w:pStyle w:val="Normal"/>
        <w:widowControl/>
        <w:ind w:firstLine="720" w:end="0"/>
        <w:rPr>
          <w:sz w:val="26"/>
        </w:rPr>
      </w:pPr>
      <w:r>
        <w:rPr>
          <w:sz w:val="26"/>
        </w:rPr>
        <w:t xml:space="preserve">In a November 6, 2000 filing, SoCal requested a stay of implementation of the mandated reassignments until no earlier than March 31, 2001.  SoCal contended that a limited stay would permit it to complete its heating season obligations and make arrangements necessary to accommodate its changed delivery rights consistent with its public utility duty to serve.  SoCal argued that irreparable harm would occur absent the limited stay.  In a November 24, 2000 request for rehearing of the Commission's </w:t>
      </w:r>
    </w:p>
    <w:p>
      <w:pPr>
        <w:pStyle w:val="Normal"/>
        <w:widowControl/>
        <w:rPr>
          <w:sz w:val="26"/>
        </w:rPr>
      </w:pPr>
      <w:r>
        <w:rPr>
          <w:sz w:val="26"/>
        </w:rPr>
        <w:t xml:space="preserve">October 25, 2000 complaint order, and a December 26, 2000 request for rehearing of the November 27, 2000 clarification order, SoCal renewed its request for stay of the implementation of the capacity reassignments.  SoCal asserts that implementation of the Commission's order in its current form would have enormous adverse consequences for SoCal and its public utility duty to serve core (residential and small commercial) customers.  SoCal contends that cost consequences, coupled with reliability concerns associated with negotiating and effectuating transportation needed to bring gas to the SoCal system, argue strongly for staying the implementation of the complaint order until March 31, 2001, or the subsequent issuance of a final order in this proceeding.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u w:val="single"/>
        </w:rPr>
      </w:pPr>
      <w:r>
        <w:rPr>
          <w:sz w:val="26"/>
        </w:rPr>
        <w:t xml:space="preserve">Upon further consideration, the Commission is concerned that implementation of the capacity reassignments on February 1, 2001 will not give SoCal sufficient time to make the business arrangements necessary to accommodate the changes required by the reallocation process and may adversely affect SoCal's ability to satisfy the needs of its core customers for the remainder of the winter heating season, which will include the historical peak use period.  Accordingly, the Commission will grant an extension of time and allow the reassignments resulting from the election process to be implemented by April 1, 2001. </w:t>
      </w:r>
    </w:p>
    <w:p>
      <w:pPr>
        <w:pStyle w:val="Normal"/>
        <w:widowControl/>
        <w:rPr>
          <w:sz w:val="26"/>
          <w:u w:val="single"/>
        </w:rPr>
      </w:pPr>
      <w:r>
        <w:rPr>
          <w:sz w:val="26"/>
          <w:u w:val="single"/>
        </w:rPr>
      </w:r>
    </w:p>
    <w:p>
      <w:pPr>
        <w:pStyle w:val="Normal"/>
        <w:widowControl/>
        <w:rPr/>
      </w:pPr>
      <w:r>
        <w:rPr>
          <w:sz w:val="26"/>
          <w:u w:val="single"/>
        </w:rPr>
        <w:t>The Commission orders</w:t>
      </w:r>
      <w:r>
        <w:rPr>
          <w:sz w:val="26"/>
        </w:rPr>
        <w:t>:</w:t>
      </w:r>
    </w:p>
    <w:p>
      <w:pPr>
        <w:pStyle w:val="Normal"/>
        <w:widowControl/>
        <w:rPr>
          <w:sz w:val="26"/>
        </w:rPr>
      </w:pPr>
      <w:r>
        <w:rPr>
          <w:sz w:val="26"/>
        </w:rPr>
      </w:r>
    </w:p>
    <w:p>
      <w:pPr>
        <w:pStyle w:val="Normal"/>
        <w:widowControl/>
        <w:ind w:firstLine="720" w:end="0"/>
        <w:rPr>
          <w:sz w:val="26"/>
        </w:rPr>
      </w:pPr>
      <w:r>
        <w:rPr>
          <w:sz w:val="26"/>
        </w:rPr>
        <w:t>An extension of time is granted to allow the reassignments resulting from the election process to be implemented by April 1, 2001.</w:t>
      </w:r>
    </w:p>
    <w:p>
      <w:pPr>
        <w:pStyle w:val="Normal"/>
        <w:widowControl/>
        <w:rPr>
          <w:sz w:val="26"/>
        </w:rPr>
      </w:pPr>
      <w:r>
        <w:rPr>
          <w:sz w:val="26"/>
        </w:rPr>
      </w:r>
    </w:p>
    <w:p>
      <w:pPr>
        <w:pStyle w:val="Normal"/>
        <w:widowControl/>
        <w:rPr>
          <w:sz w:val="26"/>
        </w:rPr>
      </w:pPr>
      <w:r>
        <w:rPr>
          <w:sz w:val="26"/>
        </w:rPr>
        <w:t>By the Commission.</w:t>
      </w:r>
    </w:p>
    <w:p>
      <w:pPr>
        <w:pStyle w:val="Normal"/>
        <w:widowControl/>
        <w:rPr>
          <w:sz w:val="26"/>
        </w:rPr>
      </w:pPr>
      <w:r>
        <w:rPr>
          <w:sz w:val="26"/>
        </w:rPr>
      </w:r>
    </w:p>
    <w:p>
      <w:pPr>
        <w:pStyle w:val="Normal"/>
        <w:widowControl/>
        <w:rPr>
          <w:sz w:val="26"/>
        </w:rPr>
      </w:pPr>
      <w:r>
        <w:rPr>
          <w:sz w:val="26"/>
        </w:rPr>
        <w:t>( S E A L )</w:t>
      </w:r>
    </w:p>
    <w:p>
      <w:pPr>
        <w:pStyle w:val="Normal"/>
        <w:widowControl/>
        <w:rPr>
          <w:sz w:val="26"/>
        </w:rPr>
      </w:pPr>
      <w:r>
        <w:rPr>
          <w:sz w:val="26"/>
        </w:rPr>
      </w:r>
    </w:p>
    <w:p>
      <w:pPr>
        <w:pStyle w:val="Normal"/>
        <w:widowControl/>
        <w:rPr>
          <w:sz w:val="26"/>
        </w:rPr>
      </w:pPr>
      <w:r>
        <w:rPr>
          <w:sz w:val="26"/>
        </w:rPr>
      </w:r>
    </w:p>
    <w:p>
      <w:pPr>
        <w:pStyle w:val="Normal"/>
        <w:widowControl/>
        <w:ind w:firstLine="5040" w:end="0"/>
        <w:rPr>
          <w:sz w:val="26"/>
        </w:rPr>
      </w:pPr>
      <w:r>
        <w:rPr>
          <w:sz w:val="26"/>
        </w:rPr>
        <w:t>David P. Boergers,</w:t>
      </w:r>
    </w:p>
    <w:p>
      <w:pPr>
        <w:pStyle w:val="Normal"/>
        <w:widowControl/>
        <w:ind w:firstLine="5040" w:end="0"/>
        <w:rPr>
          <w:sz w:val="26"/>
        </w:rPr>
      </w:pPr>
      <w:r>
        <w:rPr>
          <w:sz w:val="26"/>
        </w:rPr>
        <w:t xml:space="preserve">      </w:t>
      </w:r>
      <w:r>
        <w:rPr>
          <w:sz w:val="26"/>
        </w:rPr>
        <w:t>Secretary.</w:t>
      </w:r>
    </w:p>
    <w:p>
      <w:pPr>
        <w:pStyle w:val="Normal"/>
        <w:widowControl/>
        <w:rPr>
          <w:sz w:val="26"/>
        </w:rPr>
      </w:pPr>
      <w:r>
        <w:rPr>
          <w:sz w:val="26"/>
        </w:rPr>
        <w:t xml:space="preserve">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firstLine="720" w:end="0"/>
        <w:rPr/>
      </w:pPr>
      <w:r>
        <w:rPr>
          <w:rStyle w:val="FootnoteCharacters"/>
        </w:rPr>
        <w:footnoteRef/>
      </w:r>
      <w:r>
        <w:rPr>
          <w:sz w:val="26"/>
        </w:rPr>
        <w:t xml:space="preserve">Amoco Energy Trading Corporation, </w:t>
      </w:r>
      <w:r>
        <w:rPr>
          <w:sz w:val="26"/>
          <w:u w:val="single"/>
        </w:rPr>
        <w:t>et</w:t>
      </w:r>
      <w:r>
        <w:rPr>
          <w:sz w:val="26"/>
        </w:rPr>
        <w:t xml:space="preserve"> </w:t>
      </w:r>
      <w:r>
        <w:rPr>
          <w:sz w:val="26"/>
          <w:u w:val="single"/>
        </w:rPr>
        <w:t>al</w:t>
      </w:r>
      <w:r>
        <w:rPr>
          <w:sz w:val="26"/>
        </w:rPr>
        <w:t xml:space="preserve">. v. El Paso Natural Gas Company, </w:t>
      </w:r>
    </w:p>
    <w:p>
      <w:pPr>
        <w:pStyle w:val="Normal"/>
        <w:spacing w:before="0" w:after="240"/>
        <w:rPr>
          <w:sz w:val="26"/>
        </w:rPr>
      </w:pPr>
      <w:r>
        <w:rPr>
          <w:sz w:val="26"/>
        </w:rPr>
        <w:t xml:space="preserve">93 FERC ¶ 61,060 (2000). </w:t>
      </w:r>
    </w:p>
  </w:footnote>
  <w:footnote w:id="3">
    <w:p>
      <w:pPr>
        <w:pStyle w:val="Normal"/>
        <w:spacing w:before="0" w:after="240"/>
        <w:ind w:firstLine="720" w:end="0"/>
        <w:rPr/>
      </w:pPr>
      <w:r>
        <w:rPr>
          <w:rStyle w:val="FootnoteCharacters"/>
        </w:rPr>
        <w:footnoteRef/>
      </w:r>
      <w:r>
        <w:rPr>
          <w:sz w:val="26"/>
        </w:rPr>
        <w:t xml:space="preserve">Amoco Energy Production Company, </w:t>
      </w:r>
      <w:r>
        <w:rPr>
          <w:sz w:val="26"/>
          <w:u w:val="single"/>
        </w:rPr>
        <w:t>et</w:t>
      </w:r>
      <w:r>
        <w:rPr>
          <w:sz w:val="26"/>
        </w:rPr>
        <w:t xml:space="preserve"> </w:t>
      </w:r>
      <w:r>
        <w:rPr>
          <w:sz w:val="26"/>
          <w:u w:val="single"/>
        </w:rPr>
        <w:t>al</w:t>
      </w:r>
      <w:r>
        <w:rPr>
          <w:sz w:val="26"/>
        </w:rPr>
        <w:t>. v. El Paso Natural Gas Company, 93 FERC ¶ 61,222 (2000).</w:t>
      </w:r>
    </w:p>
  </w:footnote>
</w:footnotes>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2001-01-10T15:51:00Z</dcterms:created>
  <dc:creator>Robert Betonte</dc:creator>
  <dc:description/>
  <dc:language>en-CA</dc:language>
  <cp:lastModifiedBy>Robert Betonte</cp:lastModifiedBy>
  <dcterms:modified xsi:type="dcterms:W3CDTF">2001-01-10T15:51:00Z</dcterms:modified>
  <cp:revision>2</cp:revision>
  <dc:subject/>
  <dc:title/>
</cp:coreProperties>
</file>