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8640" w:leader="none"/>
        </w:tabs>
        <w:spacing w:lineRule="auto" w:line="240"/>
        <w:ind w:end="0"/>
        <w:rPr/>
      </w:pPr>
      <w:r>
        <w:rPr>
          <w:sz w:val="26"/>
        </w:rPr>
      </w:r>
      <w:r>
        <w:rPr>
          <w:sz w:val="26"/>
        </w:rPr>
        <w:tab/>
        <w:t>FEDERAL ENERGY REGULATORY COMMISSION</w:t>
      </w:r>
    </w:p>
    <w:p>
      <w:pPr>
        <w:pStyle w:val="Normal"/>
        <w:widowControl/>
        <w:tabs>
          <w:tab w:val="clear" w:pos="720"/>
          <w:tab w:val="center" w:pos="8640" w:leader="none"/>
        </w:tabs>
        <w:spacing w:lineRule="auto" w:line="240"/>
        <w:rPr>
          <w:sz w:val="26"/>
        </w:rPr>
      </w:pPr>
      <w:r>
        <w:rPr>
          <w:sz w:val="26"/>
        </w:rPr>
        <w:tab/>
        <w:t>Washington, D.C.  20426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OFFICE OF MARKETS, TARIFFS AND RATES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sectPr>
          <w:headerReference w:type="even" r:id="rId2"/>
          <w:headerReference w:type="default" r:id="rId3"/>
          <w:type w:val="nextPage"/>
          <w:pgSz w:w="12240" w:h="15840"/>
          <w:pgMar w:left="1440" w:right="1440" w:gutter="0" w:header="1440" w:top="1920" w:footer="0" w:bottom="144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end="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6"/>
          <w:u w:val="single"/>
        </w:rPr>
        <w:t>In Reply Refer To</w:t>
      </w:r>
      <w:r>
        <w:rPr>
          <w:sz w:val="26"/>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Letter Order Pursuant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 xml:space="preserve">   </w:t>
      </w:r>
      <w:r>
        <w:rPr>
          <w:sz w:val="26"/>
        </w:rPr>
        <w:t>§ 375.307(f)(1) and (f)(3)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Transcontinental Gas Pipe Line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 xml:space="preserve">   </w:t>
      </w:r>
      <w:r>
        <w:rPr>
          <w:sz w:val="26"/>
        </w:rPr>
        <w:t>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Docket No. RP02-89-000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sectPr>
          <w:type w:val="continuous"/>
          <w:pgSz w:w="12240" w:h="15840"/>
          <w:pgMar w:left="6480" w:right="1440" w:gutter="0" w:header="1440" w:top="1920" w:footer="0" w:bottom="144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start="5040" w:end="0"/>
        <w:rPr>
          <w:sz w:val="26"/>
        </w:rPr>
      </w:pPr>
      <w:r>
        <w:rPr>
          <w:sz w:val="26"/>
        </w:rPr>
        <w:t>Issued:  December 20,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Transcontinental Gas Pipe Line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P.O. Box 1396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Houston, TX  77251-1396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1440" w:start="1440" w:end="0"/>
        <w:rPr>
          <w:sz w:val="26"/>
        </w:rPr>
      </w:pPr>
      <w:r>
        <w:rPr>
          <w:sz w:val="26"/>
        </w:rPr>
        <w:t>Attention:</w:t>
        <w:tab/>
        <w:t xml:space="preserve">Michael Cathey, Director - Rates and Strategic Planning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1440" w:start="1440" w:end="0"/>
        <w:rPr>
          <w:sz w:val="26"/>
        </w:rPr>
      </w:pPr>
      <w:r>
        <w:rPr>
          <w:sz w:val="26"/>
        </w:rPr>
        <w:t>Reference:</w:t>
        <w:tab/>
        <w:t>Revised Tariff Sheets -  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Ladies and 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On November 30, 2001, Transcontinental Gas Pipe Line Corporation filed the referenced tariff sheets to reflect the revised funding surcharges for the Gas Research Institute (GRI) for the year 2002.  The Commission approved the Year 2002 GRI surcharges in its letter order issued September 19, 2001, in Docket No. RP01-434-000. The referenced tariff sheets satisfactorily reflect the revised surcharges and are accepted effective January 1, 2002.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This acceptance for filing shall not be construed as a waiver of the requirements of Section 7 of the Natural Gas Act, as amended; nor shall it be construed as constituting approval of the referenced filing or of any rate, charge, classification, or any rule, regulation, or practice affecting such rate or service contained in your tariff; nor shall such acceptance be deemed as recognition of any claimed contractual right or obligation associated therewith; and such acceptance is without prejudice to any findings or orders which have been or may hereafter be made by the Commission in any proceeding now pending or hereafter instituted by or against your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sectPr>
          <w:type w:val="continuous"/>
          <w:pgSz w:w="12240" w:h="15840"/>
          <w:pgMar w:left="1440" w:right="1440" w:gutter="0" w:header="1440" w:top="1920" w:footer="0" w:bottom="144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This order constitutes final agency action.  Requests for rehearing by the Commission may be filed within 30 days of the date of issuance of this order, pursuant to 18 C.F.R. § 385.713.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Sincerely,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Alice M. Fernandez, Director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Division of Tariffs and Rates - East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cc:</w:t>
        <w:tab/>
        <w:t>Public File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All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Randall R. Conklin, Vice President and General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 xml:space="preserve">Transcontinental Gas Pipe Line Corporation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P.O. Box 1396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Houston, TX  77251-1396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Judith L. Neason, Director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Federal Regulatory Affairs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The Williams Companies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1627 Eye Street, N.W.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Suite 900</w:t>
      </w:r>
    </w:p>
    <w:p>
      <w:pPr>
        <w:sectPr>
          <w:type w:val="continuous"/>
          <w:pgSz w:w="12240" w:h="15840"/>
          <w:pgMar w:left="1440" w:right="1440" w:gutter="0" w:header="1440" w:top="1920" w:footer="0" w:bottom="144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Washington, DC  20006-4007</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sectPr>
          <w:headerReference w:type="even" r:id="rId4"/>
          <w:headerReference w:type="default" r:id="rId5"/>
          <w:type w:val="nextPage"/>
          <w:pgSz w:w="12240" w:h="15840"/>
          <w:pgMar w:left="1440" w:right="1440" w:gutter="0" w:header="1440" w:top="1980" w:footer="0" w:bottom="144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ab/>
        <w:tab/>
        <w:tab/>
      </w:r>
      <w:r>
        <w:rPr>
          <w:sz w:val="26"/>
          <w:u w:val="single"/>
        </w:rPr>
        <w:t>ATTACHMENT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ab/>
        <w:tab/>
        <w:tab/>
        <w:t>Page No. 1 of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Transcontinental Gas Pipe Line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FERC Gas Tariff, Third Revised Volume No.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Effective January 1, 2002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Thirty-First Revised Sheet No. 35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Third Revised Sheet No. 35.01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Seventeenth Revised Sheet No. 35A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Thirtieth Revised Sheet No. 36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Eighteenth Revised Sheet No. 36A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Eighteenth Revised Sheet No. 36B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Thirtieth Revised Sheet No. 37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Eighteenth Revised Sheet No. 37.01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Eighteenth Revised Sheet No. 37.02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37B.01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Fifteenth Revised Sheet No. 37C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37D.01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Twenty-Fourth Revised Sheet No. 37E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37F.01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37H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37J</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Thirteenth Revised Sheet No. 37K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Sheet No. 37L.04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Twelfth Revised Sheet No. 37M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Thirty-Fifth Revised Sheet No. 38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Nineteenth Revised Sheet No. 40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Sixteenth Revised Sheet No. 40.01</w:t>
      </w:r>
    </w:p>
    <w:p>
      <w:pPr>
        <w:sectPr>
          <w:type w:val="continuous"/>
          <w:pgSz w:w="12240" w:h="15840"/>
          <w:pgMar w:left="1440" w:right="1440" w:gutter="0" w:header="1440" w:top="1980" w:footer="0" w:bottom="144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Fourth Revised Sheet No. 40.02</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sectPr>
          <w:headerReference w:type="even" r:id="rId6"/>
          <w:headerReference w:type="default" r:id="rId7"/>
          <w:type w:val="nextPage"/>
          <w:pgSz w:w="12240" w:h="15840"/>
          <w:pgMar w:left="1440" w:right="1440" w:gutter="0" w:header="1440" w:top="1980" w:footer="0" w:bottom="1440"/>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ab/>
        <w:tab/>
        <w:tab/>
      </w:r>
      <w:r>
        <w:rPr>
          <w:sz w:val="26"/>
          <w:u w:val="single"/>
        </w:rPr>
        <w:t>ATTACHMENT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ab/>
        <w:tab/>
        <w:tab/>
        <w:tab/>
        <w:tab/>
        <w:tab/>
        <w:tab/>
        <w:tab/>
        <w:tab/>
        <w:tab/>
        <w:t>Page No. 2 of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Transcontinental Gas Pipe Line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FERC Gas Tariff, Third Revised Volume No.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clear" w:pos="720"/>
          <w:tab w:val="center" w:pos="8640" w:leader="none"/>
        </w:tabs>
        <w:spacing w:lineRule="auto" w:line="240"/>
        <w:rPr>
          <w:sz w:val="26"/>
        </w:rPr>
      </w:pPr>
      <w:r>
        <w:rPr>
          <w:sz w:val="26"/>
        </w:rPr>
        <w:tab/>
      </w:r>
      <w:r>
        <w:rPr>
          <w:sz w:val="26"/>
          <w:u w:val="single"/>
        </w:rPr>
        <w:t>Effective January 1, 2002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40B.01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Fifteenth Revised Sheet No. 40C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40D.01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Twenty-Fourth Revised Sheet No. 40E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Fourth Revised Sheet No. 40F.01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Nineteenth Revised Sheet No. 40G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Nineteenth Revised Sheet No. 40H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Thirteenth Revised Sheet No. 40I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Sheet No. 40J.03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Twelfth Revised Sheet No. 40K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Second Revised Sheet No. 42.01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Third Revised Twenty-Fourth Revised Sheet No. 60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Eighth Revised Sheet No. 60B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Seventh Revised Sheet No. 60C</w:t>
      </w:r>
    </w:p>
    <w:sectPr>
      <w:type w:val="continuous"/>
      <w:pgSz w:w="12240" w:h="15840"/>
      <w:pgMar w:left="1440" w:right="1440" w:gutter="0" w:header="1440" w:top="198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wp:posOffset>
              </wp:positionV>
              <wp:extent cx="5943600" cy="191770"/>
              <wp:effectExtent l="0" t="0" r="0" b="0"/>
              <wp:wrapTopAndBottom/>
              <wp:docPr id="1" name="Frame2"/>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2</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2</w:t>
                    </w:r>
                    <w:r>
                      <w:rPr>
                        <w:sz w:val="26"/>
                        <w:color w:val="000000"/>
                      </w:rPr>
                      <w:fldChar w:fldCharType="end"/>
                    </w:r>
                    <w:r>
                      <w:rPr>
                        <w:color w:val="000000"/>
                        <w:sz w:val="26"/>
                      </w:rPr>
                      <w:t>-</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wp:posOffset>
              </wp:positionV>
              <wp:extent cx="5943600" cy="191770"/>
              <wp:effectExtent l="0" t="0" r="0" b="0"/>
              <wp:wrapTopAndBottom/>
              <wp:docPr id="2" name="Frame1"/>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1</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1</w:t>
                    </w:r>
                    <w:r>
                      <w:rPr>
                        <w:sz w:val="26"/>
                        <w:color w:val="000000"/>
                      </w:rPr>
                      <w:fldChar w:fldCharType="end"/>
                    </w:r>
                    <w:r>
                      <w:rPr>
                        <w:color w:val="000000"/>
                        <w:sz w:val="26"/>
                      </w:rPr>
                      <w:t>-</w:t>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Docket No. RP02-89-000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wp:posOffset>
              </wp:positionV>
              <wp:extent cx="5943600" cy="191770"/>
              <wp:effectExtent l="0" t="0" r="0" b="0"/>
              <wp:wrapTopAndBottom/>
              <wp:docPr id="3" name="Frame8"/>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2</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2</w:t>
                    </w:r>
                    <w:r>
                      <w:rPr>
                        <w:sz w:val="26"/>
                        <w:color w:val="000000"/>
                      </w:rPr>
                      <w:fldChar w:fldCharType="end"/>
                    </w:r>
                    <w:r>
                      <w:rPr>
                        <w:color w:val="000000"/>
                        <w:sz w:val="26"/>
                      </w:rPr>
                      <w:t>-</w:t>
                    </w:r>
                  </w:p>
                </w:txbxContent>
              </v:textbox>
              <w10:wrap type="topAndBottom"/>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Docket No. RP02-89-000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wp:posOffset>
              </wp:positionV>
              <wp:extent cx="5943600" cy="191770"/>
              <wp:effectExtent l="0" t="0" r="0" b="0"/>
              <wp:wrapTopAndBottom/>
              <wp:docPr id="4" name="Frame7"/>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3</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3</w:t>
                    </w:r>
                    <w:r>
                      <w:rPr>
                        <w:sz w:val="26"/>
                        <w:color w:val="000000"/>
                      </w:rPr>
                      <w:fldChar w:fldCharType="end"/>
                    </w:r>
                    <w:r>
                      <w:rPr>
                        <w:color w:val="000000"/>
                        <w:sz w:val="26"/>
                      </w:rPr>
                      <w:t>-</w:t>
                    </w:r>
                  </w:p>
                </w:txbxContent>
              </v:textbox>
              <w10:wrap type="topAndBottom"/>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Docket No. RP02-89-000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wp:posOffset>
              </wp:positionV>
              <wp:extent cx="5943600" cy="191770"/>
              <wp:effectExtent l="0" t="0" r="0" b="0"/>
              <wp:wrapTopAndBottom/>
              <wp:docPr id="5" name="Frame10"/>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4</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4</w:t>
                    </w:r>
                    <w:r>
                      <w:rPr>
                        <w:sz w:val="26"/>
                        <w:color w:val="000000"/>
                      </w:rPr>
                      <w:fldChar w:fldCharType="end"/>
                    </w:r>
                    <w:r>
                      <w:rPr>
                        <w:color w:val="000000"/>
                        <w:sz w:val="26"/>
                      </w:rPr>
                      <w:t>-</w:t>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t>Docket No. RP02-89-000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6"/>
      </w:rPr>
    </w:pPr>
    <w:r>
      <w:rPr>
        <w:sz w:val="26"/>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wp:posOffset>
              </wp:positionV>
              <wp:extent cx="5943600" cy="191770"/>
              <wp:effectExtent l="0" t="0" r="0" b="0"/>
              <wp:wrapTopAndBottom/>
              <wp:docPr id="6" name="Frame9"/>
              <a:graphic xmlns:a="http://schemas.openxmlformats.org/drawingml/2006/main">
                <a:graphicData uri="http://schemas.microsoft.com/office/word/2010/wordprocessingShape">
                  <wps:wsp>
                    <wps:cNvSpPr txBox="1"/>
                    <wps:spPr>
                      <a:xfrm>
                        <a:off x="0" y="0"/>
                        <a:ext cx="5943600" cy="191770"/>
                      </a:xfrm>
                      <a:prstGeom prst="rect"/>
                      <a:solidFill>
                        <a:srgbClr val="FFFFFF">
                          <a:alpha val="0"/>
                        </a:srgbClr>
                      </a:solidFill>
                    </wps:spPr>
                    <wps:txbx>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3</w:t>
                          </w:r>
                          <w:r>
                            <w:rPr>
                              <w:sz w:val="26"/>
                              <w:color w:val="000000"/>
                            </w:rPr>
                            <w:fldChar w:fldCharType="end"/>
                          </w:r>
                          <w:r>
                            <w:rPr>
                              <w:color w:val="000000"/>
                              <w:sz w:val="26"/>
                            </w:rPr>
                            <w:t>-</w:t>
                          </w:r>
                        </w:p>
                      </w:txbxContent>
                    </wps:txbx>
                    <wps:bodyPr anchor="t" lIns="0" tIns="0" rIns="0" bIns="0">
                      <a:noAutofit/>
                    </wps:bodyPr>
                  </wps:wsp>
                </a:graphicData>
              </a:graphic>
            </wp:anchor>
          </w:drawing>
        </mc:Choice>
        <mc:Fallback>
          <w:pict>
            <v:rect fillcolor="#FFFFFF" style="position:absolute;rotation:-0;width:468pt;height:15.1pt;mso-wrap-distance-left:0pt;mso-wrap-distance-right:0pt;mso-wrap-distance-top:0pt;mso-wrap-distance-bottom:0pt;margin-top:72pt;mso-position-vertical-relative:page;margin-left:0pt;mso-position-horizontal:left;mso-position-horizontal-relative:text">
              <v:fill opacity="0f"/>
              <v:textbox inset="0in,0in,0in,0in">
                <w:txbxContent>
                  <w:p>
                    <w:pPr>
                      <w:pStyle w:val="Normal"/>
                      <w:widowControl/>
                      <w:shd w:fill="auto" w:val="clea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sz w:val="26"/>
                      </w:rPr>
                    </w:pPr>
                    <w:r>
                      <w:rPr>
                        <w:color w:val="000000"/>
                        <w:sz w:val="26"/>
                      </w:rPr>
                      <w:t>-</w:t>
                    </w:r>
                    <w:r>
                      <w:rPr>
                        <w:color w:val="000000"/>
                        <w:sz w:val="26"/>
                      </w:rPr>
                      <w:fldChar w:fldCharType="begin"/>
                    </w:r>
                    <w:r>
                      <w:rPr>
                        <w:sz w:val="26"/>
                        <w:color w:val="000000"/>
                      </w:rPr>
                      <w:instrText xml:space="preserve"> PAGE \* ARABIC </w:instrText>
                    </w:r>
                    <w:r>
                      <w:rPr>
                        <w:sz w:val="26"/>
                        <w:color w:val="000000"/>
                      </w:rPr>
                      <w:fldChar w:fldCharType="separate"/>
                    </w:r>
                    <w:r>
                      <w:rPr>
                        <w:sz w:val="26"/>
                        <w:color w:val="000000"/>
                      </w:rPr>
                      <w:t>3</w:t>
                    </w:r>
                    <w:r>
                      <w:rPr>
                        <w:sz w:val="26"/>
                        <w:color w:val="000000"/>
                      </w:rPr>
                      <w:fldChar w:fldCharType="end"/>
                    </w:r>
                    <w:r>
                      <w:rPr>
                        <w:color w:val="000000"/>
                        <w:sz w:val="26"/>
                      </w:rPr>
                      <w:t>-</w:t>
                    </w:r>
                  </w:p>
                </w:txbxContent>
              </v:textbox>
              <w10:wrap type="topAndBottom"/>
            </v:rect>
          </w:pict>
        </mc:Fallback>
      </mc:AlternateContent>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Letterhead">
    <w:name w:val="Letterhead"/>
    <w:qFormat/>
    <w:rPr/>
  </w:style>
  <w:style w:type="character" w:styleId="WP9Closing">
    <w:name w:val="WP9_Closing"/>
    <w:qFormat/>
    <w:rPr/>
  </w:style>
  <w:style w:type="character" w:styleId="Settings">
    <w:name w:val="Settings"/>
    <w:qFormat/>
    <w:rPr/>
  </w:style>
  <w:style w:type="character" w:styleId="Second">
    <w:name w:val="Second"/>
    <w:qFormat/>
    <w:rPr/>
  </w:style>
  <w:style w:type="character" w:styleId="Bibliogrphy">
    <w:name w:val="Bibliogrphy"/>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WP9Heading2">
    <w:name w:val="WP9_Heading 2"/>
    <w:qFormat/>
    <w:rPr>
      <w:sz w:val="29"/>
      <w:u w:val="single"/>
    </w:rPr>
  </w:style>
  <w:style w:type="character" w:styleId="WP9Heading1">
    <w:name w:val="WP9_Heading 1"/>
    <w:qFormat/>
    <w:rPr>
      <w:b/>
      <w:sz w:val="36"/>
    </w:rPr>
  </w:style>
  <w:style w:type="character" w:styleId="BulletList">
    <w:name w:val="Bullet List"/>
    <w:qFormat/>
    <w:rPr/>
  </w:style>
  <w:style w:type="character" w:styleId="UNIV14CTRB">
    <w:name w:val="UNIV14/CTR/B"/>
    <w:qFormat/>
    <w:rPr>
      <w:rFonts w:ascii="Arial" w:hAnsi="Arial" w:cs="Arial"/>
      <w:b/>
      <w:sz w:val="28"/>
    </w:rPr>
  </w:style>
  <w:style w:type="character" w:styleId="UNIV12BLD">
    <w:name w:val="UNIV12/BLD"/>
    <w:qFormat/>
    <w:rPr>
      <w:rFonts w:ascii="Arial" w:hAnsi="Arial" w:cs="Arial"/>
      <w:b/>
      <w:sz w:val="24"/>
    </w:rPr>
  </w:style>
  <w:style w:type="character" w:styleId="univers12">
    <w:name w:val="univers12"/>
    <w:qFormat/>
    <w:rPr>
      <w:rFonts w:ascii="Arial" w:hAnsi="Arial" w:cs="Arial"/>
      <w:sz w:val="24"/>
    </w:rPr>
  </w:style>
  <w:style w:type="character" w:styleId="Heading">
    <w:name w:val="Heading"/>
    <w:qFormat/>
    <w:rPr>
      <w:b/>
      <w:sz w:val="29"/>
    </w:rPr>
  </w:style>
  <w:style w:type="character" w:styleId="Subheading">
    <w:name w:val="Subheading"/>
    <w:qFormat/>
    <w:rPr>
      <w:b/>
    </w:rPr>
  </w:style>
  <w:style w:type="character" w:styleId="ParNum">
    <w:name w:val="ParNum"/>
    <w:qFormat/>
    <w:rPr/>
  </w:style>
  <w:style w:type="character" w:styleId="B-Level">
    <w:name w:val="B-Level"/>
    <w:qFormat/>
    <w:rPr>
      <w:b/>
      <w:sz w:val="32"/>
    </w:rPr>
  </w:style>
  <w:style w:type="character" w:styleId="C-Level">
    <w:name w:val="C-Level"/>
    <w:qFormat/>
    <w:rPr>
      <w:b/>
    </w:rPr>
  </w:style>
  <w:style w:type="character" w:styleId="D-Level">
    <w:name w:val="D-Level"/>
    <w:qFormat/>
    <w:rPr>
      <w:b/>
    </w:rPr>
  </w:style>
  <w:style w:type="character" w:styleId="E-Level">
    <w:name w:val="E-Level"/>
    <w:qFormat/>
    <w:rPr>
      <w:b/>
    </w:rPr>
  </w:style>
  <w:style w:type="character" w:styleId="Regular">
    <w:name w:val="Regular"/>
    <w:qFormat/>
    <w:rPr>
      <w:sz w:val="24"/>
    </w:rPr>
  </w:style>
  <w:style w:type="character" w:styleId="15-pitch">
    <w:name w:val="15-pitch"/>
    <w:qFormat/>
    <w:rPr>
      <w:sz w:val="16"/>
    </w:rPr>
  </w:style>
  <w:style w:type="character" w:styleId="A-Level">
    <w:name w:val="A-Level"/>
    <w:qFormat/>
    <w:rPr>
      <w:sz w:val="38"/>
    </w:rPr>
  </w:style>
  <w:style w:type="character" w:styleId="Memo">
    <w:name w:val="Memo"/>
    <w:qFormat/>
    <w:rPr>
      <w:sz w:val="24"/>
    </w:rPr>
  </w:style>
  <w:style w:type="character" w:styleId="Envelopes">
    <w:name w:val="Envelopes"/>
    <w:qFormat/>
    <w:rPr>
      <w:sz w:val="24"/>
    </w:rPr>
  </w:style>
  <w:style w:type="character" w:styleId="Labels">
    <w:name w:val="Labels"/>
    <w:qFormat/>
    <w:rPr>
      <w:sz w:val="24"/>
    </w:rPr>
  </w:style>
  <w:style w:type="character" w:styleId="Twocol">
    <w:name w:val="Twocol"/>
    <w:qFormat/>
    <w:rPr>
      <w:sz w:val="20"/>
    </w:rPr>
  </w:style>
  <w:style w:type="character" w:styleId="CSA">
    <w:name w:val="CSA"/>
    <w:qFormat/>
    <w:rPr>
      <w:sz w:val="28"/>
    </w:rPr>
  </w:style>
  <w:style w:type="character" w:styleId="rp">
    <w:name w:val="r_x000c_$_x0010_@_x001c__x000e_|&lt;p'"/>
    <w:qFormat/>
    <w:rPr/>
  </w:style>
  <w:style w:type="character" w:styleId="Single">
    <w:name w:val="Single"/>
    <w:qFormat/>
    <w:rPr/>
  </w:style>
  <w:style w:type="character" w:styleId="1">
    <w:name w:val="1"/>
    <w:qFormat/>
    <w:rPr/>
  </w:style>
  <w:style w:type="character" w:styleId="2">
    <w:name w:val="2"/>
    <w:qFormat/>
    <w:rPr/>
  </w:style>
  <w:style w:type="character" w:styleId="QuickFormat1">
    <w:name w:val="QuickFormat1"/>
    <w:qFormat/>
    <w:rPr>
      <w:rFonts w:ascii="Arial" w:hAnsi="Arial" w:cs="Arial"/>
      <w:b/>
      <w:color w:val="000000"/>
      <w:sz w:val="18"/>
    </w:rPr>
  </w:style>
  <w:style w:type="character" w:styleId="QuickFormat2">
    <w:name w:val="QuickFormat2"/>
    <w:qFormat/>
    <w:rPr>
      <w:rFonts w:ascii="Arial" w:hAnsi="Arial" w:cs="Arial"/>
      <w:color w:val="000000"/>
      <w:sz w:val="18"/>
    </w:rPr>
  </w:style>
  <w:style w:type="character" w:styleId="Style14">
    <w:name w:val="آ"/>
    <w:qFormat/>
    <w:rPr/>
  </w:style>
  <w:style w:type="character" w:styleId="WW-rp">
    <w:name w:val="WW-r_x000c_$_x0010_@_x001c__x000e_|&lt;p'"/>
    <w:qFormat/>
    <w:rPr/>
  </w:style>
  <w:style w:type="character" w:styleId="3">
    <w:name w:val="3"/>
    <w:qFormat/>
    <w:rPr/>
  </w:style>
  <w:style w:type="character" w:styleId="courier">
    <w:name w:val="courier"/>
    <w:qFormat/>
    <w:rPr/>
  </w:style>
  <w:style w:type="character" w:styleId="unital12">
    <w:name w:val="unital12"/>
    <w:qFormat/>
    <w:rPr>
      <w:sz w:val="24"/>
    </w:rPr>
  </w:style>
  <w:style w:type="character" w:styleId="5">
    <w:name w:val="5"/>
    <w:qFormat/>
    <w:rPr>
      <w:sz w:val="24"/>
    </w:rPr>
  </w:style>
  <w:style w:type="character" w:styleId="6">
    <w:name w:val="6"/>
    <w:qFormat/>
    <w:rPr/>
  </w:style>
  <w:style w:type="character" w:styleId="4">
    <w:name w:val="4"/>
    <w:qFormat/>
    <w:rPr>
      <w:sz w:val="24"/>
    </w:rPr>
  </w:style>
  <w:style w:type="character" w:styleId="0">
    <w:name w:val="0"/>
    <w:qFormat/>
    <w:rPr>
      <w:sz w:val="36"/>
    </w:rPr>
  </w:style>
  <w:style w:type="character" w:styleId="7">
    <w:name w:val="7"/>
    <w:qFormat/>
    <w:rPr>
      <w:sz w:val="24"/>
    </w:rPr>
  </w:style>
  <w:style w:type="character" w:styleId="8">
    <w:name w:val="8"/>
    <w:qFormat/>
    <w:rPr/>
  </w:style>
  <w:style w:type="character" w:styleId="text">
    <w:name w:val="text"/>
    <w:qFormat/>
    <w:rPr>
      <w:rFonts w:ascii="CG Times" w:hAnsi="CG Times" w:cs="CG Times"/>
      <w:sz w:val="24"/>
    </w:rPr>
  </w:style>
  <w:style w:type="character" w:styleId="lines">
    <w:name w:val="lines"/>
    <w:qFormat/>
    <w:rPr/>
  </w:style>
  <w:style w:type="character" w:styleId="Style15">
    <w:name w:val="_x0005_"/>
    <w:qFormat/>
    <w:rPr>
      <w:sz w:val="24"/>
    </w:rPr>
  </w:style>
  <w:style w:type="character" w:styleId="Bullet">
    <w:name w:val="Bullet"/>
    <w:qFormat/>
    <w:rPr/>
  </w:style>
  <w:style w:type="character" w:styleId="HangingInde">
    <w:name w:val="Hanging Inde"/>
    <w:qFormat/>
    <w:rPr/>
  </w:style>
  <w:style w:type="character" w:styleId="HEADING3">
    <w:name w:val="HEADING 3"/>
    <w:qFormat/>
    <w:rPr/>
  </w:style>
  <w:style w:type="character" w:styleId="heading12">
    <w:name w:val="heading12"/>
    <w:qFormat/>
    <w:rPr>
      <w:sz w:val="24"/>
    </w:rPr>
  </w:style>
  <w:style w:type="character" w:styleId="d">
    <w:name w:val="d"/>
    <w:qFormat/>
    <w:rPr/>
  </w:style>
  <w:style w:type="character" w:styleId="univers11">
    <w:name w:val="univers 11"/>
    <w:qFormat/>
    <w:rPr>
      <w:sz w:val="22"/>
    </w:rPr>
  </w:style>
  <w:style w:type="character" w:styleId="univers111">
    <w:name w:val="univers11"/>
    <w:qFormat/>
    <w:rPr>
      <w:sz w:val="22"/>
    </w:rPr>
  </w:style>
  <w:style w:type="character" w:styleId="DefaultPara">
    <w:name w:val="Default Para"/>
    <w:qFormat/>
    <w:rPr>
      <w:rFonts w:ascii="Arial" w:hAnsi="Arial" w:cs="Arial"/>
      <w:sz w:val="24"/>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RightPar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11">
    <w:name w:val="1[1]"/>
    <w:basedOn w:val="Normal"/>
    <w:qFormat/>
    <w:pPr>
      <w:widowControl w:val="false"/>
    </w:pPr>
    <w:rPr/>
  </w:style>
  <w:style w:type="paragraph" w:styleId="12">
    <w:name w:val="1[2]"/>
    <w:basedOn w:val="Normal"/>
    <w:qFormat/>
    <w:pPr>
      <w:widowControl w:val="false"/>
    </w:pPr>
    <w:rPr/>
  </w:style>
  <w:style w:type="paragraph" w:styleId="13">
    <w:name w:val="1[3]"/>
    <w:basedOn w:val="Normal"/>
    <w:qFormat/>
    <w:pPr>
      <w:widowControl w:val="false"/>
    </w:pPr>
    <w:rPr/>
  </w:style>
  <w:style w:type="paragraph" w:styleId="14">
    <w:name w:val="1[4]"/>
    <w:basedOn w:val="Normal"/>
    <w:qFormat/>
    <w:pPr>
      <w:widowControl w:val="false"/>
    </w:pPr>
    <w:rPr/>
  </w:style>
  <w:style w:type="paragraph" w:styleId="15">
    <w:name w:val="1[5]"/>
    <w:basedOn w:val="Normal"/>
    <w:qFormat/>
    <w:pPr>
      <w:widowControl w:val="false"/>
    </w:pPr>
    <w:rPr/>
  </w:style>
  <w:style w:type="paragraph" w:styleId="16">
    <w:name w:val="1[6]"/>
    <w:basedOn w:val="Normal"/>
    <w:qFormat/>
    <w:pPr>
      <w:widowControl w:val="false"/>
    </w:pPr>
    <w:rPr/>
  </w:style>
  <w:style w:type="paragraph" w:styleId="17">
    <w:name w:val="1[7]"/>
    <w:basedOn w:val="Normal"/>
    <w:qFormat/>
    <w:pPr>
      <w:widowControl w:val="false"/>
    </w:pPr>
    <w:rPr/>
  </w:style>
  <w:style w:type="paragraph" w:styleId="18">
    <w:name w:val="1[8]"/>
    <w:basedOn w:val="Normal"/>
    <w:qFormat/>
    <w:pPr>
      <w:widowControl w:val="false"/>
    </w:pPr>
    <w:rPr/>
  </w:style>
  <w:style w:type="paragraph" w:styleId="51">
    <w:name w:val="5[1]"/>
    <w:basedOn w:val="Normal"/>
    <w:qFormat/>
    <w:pPr>
      <w:widowControl w:val="false"/>
    </w:pPr>
    <w:rPr/>
  </w:style>
  <w:style w:type="paragraph" w:styleId="52">
    <w:name w:val="5[2]"/>
    <w:basedOn w:val="Normal"/>
    <w:qFormat/>
    <w:pPr>
      <w:widowControl w:val="false"/>
    </w:pPr>
    <w:rPr/>
  </w:style>
  <w:style w:type="paragraph" w:styleId="53">
    <w:name w:val="5[3]"/>
    <w:basedOn w:val="Normal"/>
    <w:qFormat/>
    <w:pPr>
      <w:widowControl w:val="false"/>
    </w:pPr>
    <w:rPr/>
  </w:style>
  <w:style w:type="paragraph" w:styleId="54">
    <w:name w:val="5[4]"/>
    <w:basedOn w:val="Normal"/>
    <w:qFormat/>
    <w:pPr>
      <w:widowControl w:val="false"/>
    </w:pPr>
    <w:rPr/>
  </w:style>
  <w:style w:type="paragraph" w:styleId="55">
    <w:name w:val="5[5]"/>
    <w:basedOn w:val="Normal"/>
    <w:qFormat/>
    <w:pPr>
      <w:widowControl w:val="false"/>
    </w:pPr>
    <w:rPr/>
  </w:style>
  <w:style w:type="paragraph" w:styleId="56">
    <w:name w:val="5[6]"/>
    <w:basedOn w:val="Normal"/>
    <w:qFormat/>
    <w:pPr>
      <w:widowControl w:val="false"/>
    </w:pPr>
    <w:rPr/>
  </w:style>
  <w:style w:type="paragraph" w:styleId="57">
    <w:name w:val="5[7]"/>
    <w:basedOn w:val="Normal"/>
    <w:qFormat/>
    <w:pPr>
      <w:widowControl w:val="false"/>
    </w:pPr>
    <w:rPr/>
  </w:style>
  <w:style w:type="paragraph" w:styleId="58">
    <w:name w:val="5[8]"/>
    <w:basedOn w:val="Normal"/>
    <w:qFormat/>
    <w:pPr>
      <w:widowControl w:val="false"/>
    </w:pPr>
    <w:rPr/>
  </w:style>
  <w:style w:type="paragraph" w:styleId="81">
    <w:name w:val="8[1]"/>
    <w:basedOn w:val="Normal"/>
    <w:qFormat/>
    <w:pPr>
      <w:widowControl w:val="false"/>
    </w:pPr>
    <w:rPr/>
  </w:style>
  <w:style w:type="paragraph" w:styleId="82">
    <w:name w:val="8[2]"/>
    <w:basedOn w:val="Normal"/>
    <w:qFormat/>
    <w:pPr>
      <w:widowControl w:val="false"/>
    </w:pPr>
    <w:rPr/>
  </w:style>
  <w:style w:type="paragraph" w:styleId="83">
    <w:name w:val="8[3]"/>
    <w:basedOn w:val="Normal"/>
    <w:qFormat/>
    <w:pPr>
      <w:widowControl w:val="false"/>
    </w:pPr>
    <w:rPr/>
  </w:style>
  <w:style w:type="paragraph" w:styleId="84">
    <w:name w:val="8[4]"/>
    <w:basedOn w:val="Normal"/>
    <w:qFormat/>
    <w:pPr>
      <w:widowControl w:val="false"/>
    </w:pPr>
    <w:rPr/>
  </w:style>
  <w:style w:type="paragraph" w:styleId="85">
    <w:name w:val="8[5]"/>
    <w:basedOn w:val="Normal"/>
    <w:qFormat/>
    <w:pPr>
      <w:widowControl w:val="false"/>
    </w:pPr>
    <w:rPr/>
  </w:style>
  <w:style w:type="paragraph" w:styleId="86">
    <w:name w:val="8[6]"/>
    <w:basedOn w:val="Normal"/>
    <w:qFormat/>
    <w:pPr>
      <w:widowControl w:val="false"/>
    </w:pPr>
    <w:rPr/>
  </w:style>
  <w:style w:type="paragraph" w:styleId="87">
    <w:name w:val="8[7]"/>
    <w:basedOn w:val="Normal"/>
    <w:qFormat/>
    <w:pPr>
      <w:widowControl w:val="false"/>
    </w:pPr>
    <w:rPr/>
  </w:style>
  <w:style w:type="paragraph" w:styleId="88">
    <w:name w:val="8[8]"/>
    <w:basedOn w:val="Normal"/>
    <w:qFormat/>
    <w:pPr>
      <w:widowControl w:val="false"/>
    </w:pPr>
    <w:rPr/>
  </w:style>
  <w:style w:type="paragraph" w:styleId="21">
    <w:name w:val="2[1]"/>
    <w:basedOn w:val="Normal"/>
    <w:qFormat/>
    <w:pPr>
      <w:widowControl w:val="false"/>
    </w:pPr>
    <w:rPr/>
  </w:style>
  <w:style w:type="paragraph" w:styleId="22">
    <w:name w:val="2[2]"/>
    <w:basedOn w:val="Normal"/>
    <w:qFormat/>
    <w:pPr>
      <w:widowControl w:val="false"/>
    </w:pPr>
    <w:rPr/>
  </w:style>
  <w:style w:type="paragraph" w:styleId="23">
    <w:name w:val="2[3]"/>
    <w:basedOn w:val="Normal"/>
    <w:qFormat/>
    <w:pPr>
      <w:widowControl w:val="false"/>
    </w:pPr>
    <w:rPr/>
  </w:style>
  <w:style w:type="paragraph" w:styleId="24">
    <w:name w:val="2[4]"/>
    <w:basedOn w:val="Normal"/>
    <w:qFormat/>
    <w:pPr>
      <w:widowControl w:val="false"/>
    </w:pPr>
    <w:rPr/>
  </w:style>
  <w:style w:type="paragraph" w:styleId="25">
    <w:name w:val="2[5]"/>
    <w:basedOn w:val="Normal"/>
    <w:qFormat/>
    <w:pPr>
      <w:widowControl w:val="false"/>
    </w:pPr>
    <w:rPr/>
  </w:style>
  <w:style w:type="paragraph" w:styleId="26">
    <w:name w:val="2[6]"/>
    <w:basedOn w:val="Normal"/>
    <w:qFormat/>
    <w:pPr>
      <w:widowControl w:val="false"/>
    </w:pPr>
    <w:rPr/>
  </w:style>
  <w:style w:type="paragraph" w:styleId="27">
    <w:name w:val="2[7]"/>
    <w:basedOn w:val="Normal"/>
    <w:qFormat/>
    <w:pPr>
      <w:widowControl w:val="false"/>
    </w:pPr>
    <w:rPr/>
  </w:style>
  <w:style w:type="paragraph" w:styleId="28">
    <w:name w:val="2[8]"/>
    <w:basedOn w:val="Normal"/>
    <w:qFormat/>
    <w:pPr>
      <w:widowControl w:val="false"/>
    </w:pPr>
    <w:rPr/>
  </w:style>
  <w:style w:type="paragraph" w:styleId="41">
    <w:name w:val="4[1]"/>
    <w:basedOn w:val="Normal"/>
    <w:qFormat/>
    <w:pPr>
      <w:widowControl w:val="false"/>
    </w:pPr>
    <w:rPr/>
  </w:style>
  <w:style w:type="paragraph" w:styleId="42">
    <w:name w:val="4[2]"/>
    <w:basedOn w:val="Normal"/>
    <w:qFormat/>
    <w:pPr>
      <w:widowControl w:val="false"/>
    </w:pPr>
    <w:rPr/>
  </w:style>
  <w:style w:type="paragraph" w:styleId="43">
    <w:name w:val="4[3]"/>
    <w:basedOn w:val="Normal"/>
    <w:qFormat/>
    <w:pPr>
      <w:widowControl w:val="false"/>
    </w:pPr>
    <w:rPr/>
  </w:style>
  <w:style w:type="paragraph" w:styleId="44">
    <w:name w:val="4[4]"/>
    <w:basedOn w:val="Normal"/>
    <w:qFormat/>
    <w:pPr>
      <w:widowControl w:val="false"/>
    </w:pPr>
    <w:rPr/>
  </w:style>
  <w:style w:type="paragraph" w:styleId="45">
    <w:name w:val="4[5]"/>
    <w:basedOn w:val="Normal"/>
    <w:qFormat/>
    <w:pPr>
      <w:widowControl w:val="false"/>
    </w:pPr>
    <w:rPr/>
  </w:style>
  <w:style w:type="paragraph" w:styleId="46">
    <w:name w:val="4[6]"/>
    <w:basedOn w:val="Normal"/>
    <w:qFormat/>
    <w:pPr>
      <w:widowControl w:val="false"/>
    </w:pPr>
    <w:rPr/>
  </w:style>
  <w:style w:type="paragraph" w:styleId="47">
    <w:name w:val="4[7]"/>
    <w:basedOn w:val="Normal"/>
    <w:qFormat/>
    <w:pPr>
      <w:widowControl w:val="false"/>
    </w:pPr>
    <w:rPr/>
  </w:style>
  <w:style w:type="paragraph" w:styleId="48">
    <w:name w:val="4[8]"/>
    <w:basedOn w:val="Normal"/>
    <w:qFormat/>
    <w:pPr>
      <w:widowControl w:val="false"/>
    </w:pPr>
    <w:rPr/>
  </w:style>
  <w:style w:type="paragraph" w:styleId="31">
    <w:name w:val="3[1]"/>
    <w:basedOn w:val="Normal"/>
    <w:qFormat/>
    <w:pPr>
      <w:widowControl w:val="false"/>
    </w:pPr>
    <w:rPr/>
  </w:style>
  <w:style w:type="paragraph" w:styleId="32">
    <w:name w:val="3[2]"/>
    <w:basedOn w:val="Normal"/>
    <w:qFormat/>
    <w:pPr>
      <w:widowControl w:val="false"/>
    </w:pPr>
    <w:rPr/>
  </w:style>
  <w:style w:type="paragraph" w:styleId="33">
    <w:name w:val="3[3]"/>
    <w:basedOn w:val="Normal"/>
    <w:qFormat/>
    <w:pPr>
      <w:widowControl w:val="false"/>
    </w:pPr>
    <w:rPr/>
  </w:style>
  <w:style w:type="paragraph" w:styleId="34">
    <w:name w:val="3[4]"/>
    <w:basedOn w:val="Normal"/>
    <w:qFormat/>
    <w:pPr>
      <w:widowControl w:val="false"/>
    </w:pPr>
    <w:rPr/>
  </w:style>
  <w:style w:type="paragraph" w:styleId="35">
    <w:name w:val="3[5]"/>
    <w:basedOn w:val="Normal"/>
    <w:qFormat/>
    <w:pPr>
      <w:widowControl w:val="false"/>
    </w:pPr>
    <w:rPr/>
  </w:style>
  <w:style w:type="paragraph" w:styleId="36">
    <w:name w:val="3[6]"/>
    <w:basedOn w:val="Normal"/>
    <w:qFormat/>
    <w:pPr>
      <w:widowControl w:val="false"/>
    </w:pPr>
    <w:rPr/>
  </w:style>
  <w:style w:type="paragraph" w:styleId="37">
    <w:name w:val="3[7]"/>
    <w:basedOn w:val="Normal"/>
    <w:qFormat/>
    <w:pPr>
      <w:widowControl w:val="false"/>
    </w:pPr>
    <w:rPr/>
  </w:style>
  <w:style w:type="paragraph" w:styleId="38">
    <w:name w:val="3[8]"/>
    <w:basedOn w:val="Normal"/>
    <w:qFormat/>
    <w:pPr>
      <w:widowControl w:val="false"/>
    </w:pPr>
    <w:rPr/>
  </w:style>
  <w:style w:type="paragraph" w:styleId="Style16">
    <w:name w:val="Ђ"/>
    <w:basedOn w:val="Normal"/>
    <w:qFormat/>
    <w:pPr>
      <w:widowControl/>
      <w:spacing w:lineRule="exac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