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rPr/>
      </w:pPr>
      <w:r>
        <w:rPr>
          <w:rFonts w:cs="Times New Roman" w:ascii="Times New Roman" w:hAnsi="Times New Roman"/>
          <w:b/>
          <w:sz w:val="26"/>
        </w:rPr>
        <w:tab/>
      </w:r>
      <w:r>
        <w:rPr>
          <w:rFonts w:cs="Times New Roman" w:ascii="Times New Roman" w:hAnsi="Times New Roman"/>
          <w:sz w:val="26"/>
        </w:rPr>
        <w:t>UNITED STATES OF AMERICA 94 FERC ¶ 61,314</w:t>
        <w:tab/>
        <w:tab/>
        <w:t xml:space="preserve">       </w:t>
      </w:r>
    </w:p>
    <w:p>
      <w:pPr>
        <w:pStyle w:val="Normal"/>
        <w:widowControl/>
        <w:tabs>
          <w:tab w:val="clear" w:pos="720"/>
          <w:tab w:val="center" w:pos="4680" w:leader="none"/>
        </w:tabs>
        <w:rPr>
          <w:rFonts w:ascii="Times New Roman" w:hAnsi="Times New Roman" w:cs="Times New Roman"/>
          <w:sz w:val="26"/>
        </w:rPr>
      </w:pPr>
      <w:r>
        <w:rPr>
          <w:rFonts w:cs="Times New Roman" w:ascii="Times New Roman" w:hAnsi="Times New Roman"/>
          <w:sz w:val="26"/>
        </w:rPr>
        <w:tab/>
        <w:t>FEDERAL ENERGY REGULATORY COMMISSION</w:t>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rPr>
          <w:rFonts w:ascii="Times New Roman" w:hAnsi="Times New Roman" w:cs="Times New Roman"/>
          <w:sz w:val="26"/>
        </w:rPr>
      </w:pPr>
      <w:r>
        <w:rPr>
          <w:rFonts w:cs="Times New Roman" w:ascii="Times New Roman" w:hAnsi="Times New Roman"/>
          <w:sz w:val="26"/>
        </w:rPr>
        <w:t>Before Commissioners:   Curt Hébert, Jr., Chairman;</w:t>
      </w:r>
    </w:p>
    <w:p>
      <w:pPr>
        <w:pStyle w:val="Normal"/>
        <w:widowControl/>
        <w:ind w:firstLine="2160" w:end="0"/>
        <w:rPr>
          <w:rFonts w:ascii="Times New Roman" w:hAnsi="Times New Roman" w:cs="Times New Roman"/>
          <w:sz w:val="26"/>
        </w:rPr>
      </w:pPr>
      <w:r>
        <w:rPr>
          <w:rFonts w:cs="Times New Roman" w:ascii="Times New Roman" w:hAnsi="Times New Roman"/>
          <w:sz w:val="26"/>
        </w:rPr>
        <w:t xml:space="preserve">       </w:t>
      </w:r>
      <w:r>
        <w:rPr>
          <w:rFonts w:cs="Times New Roman" w:ascii="Times New Roman" w:hAnsi="Times New Roman"/>
          <w:sz w:val="26"/>
        </w:rPr>
        <w:t xml:space="preserve">William L. Massey, and Linda Breathitt.  </w:t>
      </w:r>
    </w:p>
    <w:p>
      <w:pPr>
        <w:pStyle w:val="Normal"/>
        <w:widowControl/>
        <w:ind w:firstLine="2160" w:end="0"/>
        <w:rPr>
          <w:rFonts w:ascii="Times New Roman" w:hAnsi="Times New Roman" w:cs="Times New Roman"/>
          <w:sz w:val="26"/>
        </w:rPr>
      </w:pPr>
      <w:r>
        <w:rPr>
          <w:rFonts w:cs="Times New Roman" w:ascii="Times New Roman" w:hAnsi="Times New Roman"/>
          <w:sz w:val="26"/>
        </w:rPr>
        <w:t xml:space="preserve"> </w:t>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1440" w:leader="none"/>
        </w:tabs>
        <w:ind w:hanging="5040" w:start="5040" w:end="0"/>
        <w:rPr>
          <w:rFonts w:ascii="Times New Roman" w:hAnsi="Times New Roman" w:cs="Times New Roman"/>
          <w:sz w:val="26"/>
        </w:rPr>
      </w:pPr>
      <w:r>
        <w:rPr>
          <w:rFonts w:cs="Times New Roman" w:ascii="Times New Roman" w:hAnsi="Times New Roman"/>
          <w:sz w:val="26"/>
        </w:rPr>
        <w:t>Northwest Pipeline Corporation</w:t>
        <w:tab/>
        <w:tab/>
        <w:tab/>
        <w:t>Docket Nos. RP01-232-000</w:t>
      </w:r>
    </w:p>
    <w:p>
      <w:pPr>
        <w:pStyle w:val="Normal"/>
        <w:widowControl/>
        <w:ind w:firstLine="5760" w:end="0"/>
        <w:rPr>
          <w:rFonts w:ascii="Times New Roman" w:hAnsi="Times New Roman" w:cs="Times New Roman"/>
          <w:sz w:val="26"/>
        </w:rPr>
      </w:pPr>
      <w:r>
        <w:rPr>
          <w:rFonts w:cs="Times New Roman" w:ascii="Times New Roman" w:hAnsi="Times New Roman"/>
          <w:sz w:val="26"/>
        </w:rPr>
        <w:t xml:space="preserve">          </w:t>
      </w:r>
      <w:r>
        <w:rPr>
          <w:rFonts w:cs="Times New Roman" w:ascii="Times New Roman" w:hAnsi="Times New Roman"/>
          <w:sz w:val="26"/>
        </w:rPr>
        <w:t>RP01-214-000</w:t>
      </w:r>
    </w:p>
    <w:p>
      <w:pPr>
        <w:pStyle w:val="Normal"/>
        <w:widowControl/>
        <w:ind w:firstLine="6480" w:end="0"/>
        <w:rPr>
          <w:rFonts w:ascii="Times New Roman" w:hAnsi="Times New Roman" w:cs="Times New Roman"/>
          <w:sz w:val="26"/>
        </w:rPr>
      </w:pPr>
      <w:r>
        <w:rPr>
          <w:rFonts w:cs="Times New Roman" w:ascii="Times New Roman" w:hAnsi="Times New Roman"/>
          <w:sz w:val="26"/>
        </w:rPr>
        <w:t>(Not Consolidated)</w:t>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tabs>
          <w:tab w:val="clear" w:pos="720"/>
          <w:tab w:val="center" w:pos="4680" w:leader="none"/>
        </w:tabs>
        <w:rPr>
          <w:rFonts w:ascii="Times New Roman" w:hAnsi="Times New Roman" w:cs="Times New Roman"/>
          <w:sz w:val="26"/>
        </w:rPr>
      </w:pPr>
      <w:r>
        <w:rPr>
          <w:rFonts w:cs="Times New Roman" w:ascii="Times New Roman" w:hAnsi="Times New Roman"/>
          <w:sz w:val="26"/>
        </w:rPr>
        <w:tab/>
        <w:t>ORDER ACCEPTING AND SUSPENDING TARIFF SHEETS,</w:t>
      </w:r>
    </w:p>
    <w:p>
      <w:pPr>
        <w:pStyle w:val="Normal"/>
        <w:widowControl/>
        <w:tabs>
          <w:tab w:val="clear" w:pos="720"/>
          <w:tab w:val="center" w:pos="4680" w:leader="none"/>
        </w:tabs>
        <w:rPr>
          <w:rFonts w:ascii="Times New Roman" w:hAnsi="Times New Roman" w:cs="Times New Roman"/>
          <w:sz w:val="26"/>
        </w:rPr>
      </w:pPr>
      <w:r>
        <w:rPr>
          <w:rFonts w:cs="Times New Roman" w:ascii="Times New Roman" w:hAnsi="Times New Roman"/>
          <w:sz w:val="26"/>
        </w:rPr>
        <w:tab/>
        <w:t>SUBJECT TO REFUND AND CONDITIONS</w:t>
      </w:r>
    </w:p>
    <w:p>
      <w:pPr>
        <w:pStyle w:val="Normal"/>
        <w:widowControl/>
        <w:tabs>
          <w:tab w:val="clear" w:pos="720"/>
          <w:tab w:val="center" w:pos="4680" w:leader="none"/>
        </w:tabs>
        <w:rPr>
          <w:rFonts w:ascii="Times New Roman" w:hAnsi="Times New Roman" w:cs="Times New Roman"/>
          <w:sz w:val="26"/>
        </w:rPr>
      </w:pPr>
      <w:r>
        <w:rPr>
          <w:rFonts w:cs="Times New Roman" w:ascii="Times New Roman" w:hAnsi="Times New Roman"/>
          <w:sz w:val="26"/>
        </w:rPr>
        <w:tab/>
      </w:r>
    </w:p>
    <w:p>
      <w:pPr>
        <w:pStyle w:val="Normal"/>
        <w:widowControl/>
        <w:tabs>
          <w:tab w:val="clear" w:pos="720"/>
          <w:tab w:val="center" w:pos="4680" w:leader="none"/>
        </w:tabs>
        <w:rPr>
          <w:rFonts w:ascii="Times New Roman" w:hAnsi="Times New Roman" w:cs="Times New Roman"/>
          <w:sz w:val="26"/>
        </w:rPr>
      </w:pPr>
      <w:r>
        <w:rPr>
          <w:rFonts w:cs="Times New Roman" w:ascii="Times New Roman" w:hAnsi="Times New Roman"/>
          <w:sz w:val="26"/>
        </w:rPr>
        <w:tab/>
        <w:t>(Issued March 16, 2001)</w:t>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ind w:firstLine="720" w:end="0"/>
        <w:rPr/>
      </w:pPr>
      <w:r>
        <w:rPr>
          <w:rFonts w:cs="Times New Roman" w:ascii="Times New Roman" w:hAnsi="Times New Roman"/>
          <w:sz w:val="26"/>
        </w:rPr>
        <w:t>On February 16, 2001, Northwest Pipeline Corporation (Northwest) filed tariff sheets,</w:t>
      </w:r>
      <w:r>
        <w:rPr>
          <w:rFonts w:cs="Times New Roman" w:ascii="Times New Roman" w:hAnsi="Times New Roman"/>
          <w:b/>
          <w:sz w:val="31"/>
          <w:vertAlign w:val="superscript"/>
        </w:rPr>
        <w:t> </w:t>
      </w:r>
      <w:r>
        <w:rPr>
          <w:rStyle w:val="FootnoteCharacters"/>
          <w:rStyle w:val="FootnoteReference"/>
          <w:rFonts w:cs="Times New Roman" w:ascii="Times New Roman" w:hAnsi="Times New Roman"/>
          <w:b/>
          <w:sz w:val="31"/>
          <w:vertAlign w:val="superscript"/>
        </w:rPr>
        <w:footnoteReference w:id="2"/>
      </w:r>
      <w:r>
        <w:rPr>
          <w:rFonts w:cs="Times New Roman" w:ascii="Times New Roman" w:hAnsi="Times New Roman"/>
          <w:sz w:val="26"/>
        </w:rPr>
        <w:t xml:space="preserve"> to be effective March 19, 2001, proposing to revise its facilities reimbursement procedures related to the construction of laterals.  Northwest proposes to revise Section 21.3 of its General Terms and Conditions (GT&amp;C) to eliminate the shipper's option of a lump sum payment to reimburse Northwest for the actual construction costs upon the completion of a lateral.  In addition, Northwest proposes to require a shipper that wishes to cease paying a facilities surcharge to pay Northwest for the net present value of the remaining facilities surcharges, instead of the current requirement of the net book value of the facilities.   Further, Northwest requests the Commission to withdraw the tariff sheets filed on January 26, 2001, in Docket No. RP01-214-000.</w:t>
      </w:r>
      <w:r>
        <w:rPr>
          <w:rFonts w:cs="Times New Roman" w:ascii="Times New Roman" w:hAnsi="Times New Roman"/>
          <w:b/>
          <w:sz w:val="31"/>
          <w:vertAlign w:val="superscript"/>
        </w:rPr>
        <w:t> </w:t>
      </w:r>
      <w:r>
        <w:rPr>
          <w:rStyle w:val="FootnoteCharacters"/>
          <w:rStyle w:val="FootnoteReference"/>
          <w:rFonts w:cs="Times New Roman" w:ascii="Times New Roman" w:hAnsi="Times New Roman"/>
          <w:b/>
          <w:sz w:val="31"/>
          <w:vertAlign w:val="superscript"/>
        </w:rPr>
        <w:footnoteReference w:id="3"/>
      </w:r>
      <w:r>
        <w:rPr>
          <w:rFonts w:cs="Times New Roman" w:ascii="Times New Roman" w:hAnsi="Times New Roman"/>
          <w:sz w:val="26"/>
        </w:rPr>
        <w:t xml:space="preserve">  The filing is protested by Duke Energy Trading and Marketing, L.L.C. (Duke), Northwest Industrial Gas Users (Industrial Gas Users), and it is also jointly protested by Northwest Natural Gas Company (Northwest Natural) and Puget Sound Energy, Inc. (Puget).  For the reasons discussed below, the Commission will accept and suspend Northwest's tariff sheets to become effective August 16, 2001, subject to refund and conditions.     </w:t>
      </w:r>
    </w:p>
    <w:p>
      <w:pPr>
        <w:pStyle w:val="Normal"/>
        <w:widowControl/>
        <w:rPr>
          <w:rFonts w:ascii="Times New Roman" w:hAnsi="Times New Roman" w:cs="Times New Roman"/>
          <w:sz w:val="26"/>
        </w:rPr>
      </w:pPr>
      <w:r>
        <w:rPr>
          <w:rFonts w:cs="Times New Roman" w:ascii="Times New Roman" w:hAnsi="Times New Roman"/>
          <w:sz w:val="26"/>
        </w:rPr>
      </w:r>
    </w:p>
    <w:p>
      <w:pPr>
        <w:sectPr>
          <w:footnotePr>
            <w:numFmt w:val="decimal"/>
          </w:footnotePr>
          <w:type w:val="nextPage"/>
          <w:pgSz w:w="12240" w:h="15840"/>
          <w:pgMar w:left="1440" w:right="1440" w:gutter="0" w:header="0" w:top="1440" w:footer="0" w:bottom="1440"/>
          <w:pgNumType w:fmt="decimal"/>
          <w:formProt w:val="false"/>
          <w:textDirection w:val="lrTb"/>
          <w:docGrid w:type="default" w:linePitch="360" w:charSpace="0"/>
        </w:sectPr>
      </w:pPr>
    </w:p>
    <w:p>
      <w:pPr>
        <w:pStyle w:val="Normal"/>
        <w:widowControl/>
        <w:rPr>
          <w:rFonts w:ascii="Times New Roman" w:hAnsi="Times New Roman" w:cs="Times New Roman"/>
          <w:sz w:val="26"/>
        </w:rPr>
      </w:pPr>
      <w:r>
        <w:rPr>
          <w:rFonts w:cs="Times New Roman" w:ascii="Times New Roman" w:hAnsi="Times New Roman"/>
          <w:sz w:val="26"/>
          <w:u w:val="single"/>
        </w:rPr>
        <w:t>Background</w:t>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ind w:firstLine="720" w:end="0"/>
        <w:rPr>
          <w:rFonts w:ascii="Times New Roman" w:hAnsi="Times New Roman" w:cs="Times New Roman"/>
          <w:sz w:val="26"/>
        </w:rPr>
      </w:pPr>
      <w:r>
        <w:rPr>
          <w:rFonts w:cs="Times New Roman" w:ascii="Times New Roman" w:hAnsi="Times New Roman"/>
          <w:sz w:val="26"/>
        </w:rPr>
        <w:t xml:space="preserve">Section 21 of Northwest's General Terms and Conditions sets forth procedures for the construction, operation, ownership, and reimbursement of costs associated with new receipt and delivery facilities that are needed to accommodate customer requests for service.  In the transmittal letter to its filing, Northwest states that such receipt and delivery facilities may include new taps, valves, measurement equipment, or other facilities, such as laterals.  Currently, Section 21.3 gives shippers a choice of two options for reimbursing Northwest when Northwest has agreed to construct needed facilities. </w:t>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ind w:firstLine="720" w:end="0"/>
        <w:rPr>
          <w:rFonts w:ascii="Times New Roman" w:hAnsi="Times New Roman" w:cs="Times New Roman"/>
          <w:sz w:val="26"/>
        </w:rPr>
      </w:pPr>
      <w:r>
        <w:rPr>
          <w:rFonts w:cs="Times New Roman" w:ascii="Times New Roman" w:hAnsi="Times New Roman"/>
          <w:sz w:val="26"/>
        </w:rPr>
        <w:t>First, under Section 21.3(a), a shipper has the option of reimbursing Northwest in full for the actual construction cost of the facilities and related income taxes via a lump sum payment, upon completion of construction.  The second option, under Section 21.3(b), permits a shipper to reimburse Northwest  through a surcharge for the cost of service attributable to the facilities.  The initial cost of service is determined using principles which are consistent with Northwest's transportation rates in effect at the time the agreement to construct is signed.  Operation and maintenance and Administrative and general costs are included to the extent the costs are actually incurred as a result of the new facilities.  The cost of service may be adjusted prospectively to reflect Commission-approved cost factors.  In addition, under Section 21.3(b), the shipper may select one of the following rate methodologies for determining the facilities' surcharge: (1) volumetric rates; (2) monthly cost-of-service charges; (3) levelized rate payments; or (4) a combination of reservation and volumetric charges.</w:t>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ind w:firstLine="720" w:end="0"/>
        <w:rPr>
          <w:rFonts w:ascii="Times New Roman" w:hAnsi="Times New Roman" w:cs="Times New Roman"/>
          <w:sz w:val="26"/>
        </w:rPr>
      </w:pPr>
      <w:r>
        <w:rPr>
          <w:rFonts w:cs="Times New Roman" w:ascii="Times New Roman" w:hAnsi="Times New Roman"/>
          <w:sz w:val="26"/>
        </w:rPr>
        <w:t>Section 21.3(e) permits a shipper to buyout of the surcharge.  This section provides that the shipper may cease paying a facility's surcharge at any time by paying Northwest for the then remaining net book value of the facilities, including any related income taxes.</w:t>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rPr>
          <w:rFonts w:ascii="Times New Roman" w:hAnsi="Times New Roman" w:cs="Times New Roman"/>
          <w:sz w:val="26"/>
          <w:u w:val="single"/>
        </w:rPr>
      </w:pPr>
      <w:r>
        <w:rPr>
          <w:rFonts w:cs="Times New Roman" w:ascii="Times New Roman" w:hAnsi="Times New Roman"/>
          <w:sz w:val="26"/>
          <w:u w:val="single"/>
        </w:rPr>
        <w:t>The Instant Filing</w:t>
      </w:r>
    </w:p>
    <w:p>
      <w:pPr>
        <w:pStyle w:val="Normal"/>
        <w:widowControl/>
        <w:rPr>
          <w:rFonts w:ascii="Times New Roman" w:hAnsi="Times New Roman" w:cs="Times New Roman"/>
          <w:sz w:val="26"/>
          <w:u w:val="single"/>
        </w:rPr>
      </w:pPr>
      <w:r>
        <w:rPr>
          <w:rFonts w:cs="Times New Roman" w:ascii="Times New Roman" w:hAnsi="Times New Roman"/>
          <w:sz w:val="26"/>
          <w:u w:val="single"/>
        </w:rPr>
      </w:r>
    </w:p>
    <w:p>
      <w:pPr>
        <w:pStyle w:val="Normal"/>
        <w:widowControl/>
        <w:ind w:firstLine="720" w:end="0"/>
        <w:rPr>
          <w:rFonts w:ascii="Times New Roman" w:hAnsi="Times New Roman" w:cs="Times New Roman"/>
          <w:sz w:val="26"/>
        </w:rPr>
      </w:pPr>
      <w:r>
        <w:rPr>
          <w:rFonts w:cs="Times New Roman" w:ascii="Times New Roman" w:hAnsi="Times New Roman"/>
          <w:sz w:val="26"/>
        </w:rPr>
        <w:t>Northwest proposes to revise Section 21.3 of its tariff to provide that payment for laterals may not be made in accordance with Sections 21.3(a) (payment in full) or 21.3(e)(1) (buyout of a facility surcharge by paying the remaining book value of the facilities).   Instead, Northwest will only allow a shipper to reimburse the cost of constructing a lateral through a facility reimbursement surcharge.  Northwest will replace the net book value reimbursement method with a net present value reimbursement method.(Section 21.3(e)(2).  In addition, Northwest proposes to revise Rate Schedules TF-1 and  TI-1 to state that a shipper is not precluded from constructing and operating its own lateral.</w:t>
      </w:r>
    </w:p>
    <w:p>
      <w:pPr>
        <w:pStyle w:val="Normal"/>
        <w:widowControl/>
        <w:rPr>
          <w:rFonts w:ascii="Times New Roman" w:hAnsi="Times New Roman" w:cs="Times New Roman"/>
          <w:sz w:val="26"/>
        </w:rPr>
      </w:pPr>
      <w:r>
        <w:rPr>
          <w:rFonts w:cs="Times New Roman" w:ascii="Times New Roman" w:hAnsi="Times New Roman"/>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rFonts w:ascii="Times New Roman" w:hAnsi="Times New Roman" w:cs="Times New Roman"/>
          <w:sz w:val="26"/>
        </w:rPr>
      </w:pPr>
      <w:r>
        <w:rPr>
          <w:rFonts w:cs="Times New Roman" w:ascii="Times New Roman" w:hAnsi="Times New Roman"/>
          <w:sz w:val="26"/>
        </w:rPr>
        <w:t xml:space="preserve">Northwest states that eliminating the lump sum reimbursement option for laterals and replacing the net book value method with a net present value method will help Northwest to justify committing significant dollars and resources to complex projects when other competing projects require those same dollars and resources.  Northwest further states if its lateral reimbursement options are not attractive to a shipper the shipper has the option of building the lateral itself.  </w:t>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ind w:firstLine="720" w:end="0"/>
        <w:rPr/>
      </w:pPr>
      <w:r>
        <w:rPr>
          <w:rFonts w:cs="Times New Roman" w:ascii="Times New Roman" w:hAnsi="Times New Roman"/>
          <w:sz w:val="26"/>
        </w:rPr>
        <w:t>In support of its proposal Northwest states that it recently negotiated an agreement to construct and operate the proposed Everett Delta lateral and two associated meter stations in Snohomish County, Washington.</w:t>
      </w:r>
      <w:r>
        <w:rPr>
          <w:rFonts w:cs="Times New Roman" w:ascii="Times New Roman" w:hAnsi="Times New Roman"/>
          <w:b/>
          <w:sz w:val="31"/>
          <w:vertAlign w:val="superscript"/>
        </w:rPr>
        <w:t> </w:t>
      </w:r>
      <w:r>
        <w:rPr>
          <w:rStyle w:val="FootnoteCharacters"/>
          <w:rStyle w:val="FootnoteReference"/>
          <w:rFonts w:cs="Times New Roman" w:ascii="Times New Roman" w:hAnsi="Times New Roman"/>
          <w:b/>
          <w:sz w:val="31"/>
          <w:vertAlign w:val="superscript"/>
        </w:rPr>
        <w:footnoteReference w:id="4"/>
      </w:r>
      <w:r>
        <w:rPr>
          <w:rFonts w:cs="Times New Roman" w:ascii="Times New Roman" w:hAnsi="Times New Roman"/>
          <w:sz w:val="26"/>
        </w:rPr>
        <w:t xml:space="preserve">  Northwest states that the shippers preferred not to construct the lateral. Therefore, according to Northwest, in order to entice it to construct the lateral, the shippers agreed to certain facilities reimbursement obligations that were different from Northwest's currently effective reimbursement options contained in its tariff.  Consequently, when Northwest filed for a Certificate of Public Convenience and Necessity to construct and operate the Everett Delta lateral, it requested waiver of Section 21.3 its current tariff provisions.  </w:t>
      </w:r>
    </w:p>
    <w:p>
      <w:pPr>
        <w:pStyle w:val="Normal"/>
        <w:widowControl/>
        <w:rPr>
          <w:rFonts w:ascii="Times New Roman" w:hAnsi="Times New Roman" w:cs="Times New Roman"/>
          <w:sz w:val="26"/>
        </w:rPr>
      </w:pPr>
      <w:r>
        <w:rPr>
          <w:rFonts w:cs="Times New Roman" w:ascii="Times New Roman" w:hAnsi="Times New Roman"/>
          <w:sz w:val="26"/>
        </w:rPr>
        <w:t xml:space="preserve"> </w:t>
      </w:r>
    </w:p>
    <w:p>
      <w:pPr>
        <w:pStyle w:val="Normal"/>
        <w:widowControl/>
        <w:ind w:firstLine="720" w:end="0"/>
        <w:rPr>
          <w:rFonts w:ascii="Times New Roman" w:hAnsi="Times New Roman" w:cs="Times New Roman"/>
          <w:sz w:val="26"/>
        </w:rPr>
      </w:pPr>
      <w:r>
        <w:rPr>
          <w:rFonts w:cs="Times New Roman" w:ascii="Times New Roman" w:hAnsi="Times New Roman"/>
          <w:sz w:val="26"/>
        </w:rPr>
        <w:t>In evaluating whether or not to construct and operate the Everett Delta lateral, Northwest determined that existing facilities reimbursement options reflected in the tariff would have to be waived to justify spending the capital dollars and employee resources needed to construct such a lateral.  According to Northwest, other similar lateral requests are currently under negotiations and even more may be forthcoming, therefore, Northwest determined that it should incorporate this additional aspect of its lateral policy in the tariff and eliminate the need for filing waiver requests with each lateral application.</w:t>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ind w:firstLine="720" w:end="0"/>
        <w:rPr>
          <w:rFonts w:ascii="Times New Roman" w:hAnsi="Times New Roman" w:cs="Times New Roman"/>
          <w:sz w:val="26"/>
        </w:rPr>
      </w:pPr>
      <w:r>
        <w:rPr>
          <w:rFonts w:cs="Times New Roman" w:ascii="Times New Roman" w:hAnsi="Times New Roman"/>
          <w:sz w:val="26"/>
        </w:rPr>
        <w:t xml:space="preserve">With respect to how the net present value of the facilities will be calculated, Northwest offers the following explanation: Northwest would impute a monthly annual facilities surcharge (as applicable) for each period during the remaining term of the agreement by applying the principles and cost factors established in its latest Commission-approved rate proceeding to the depreciated value of the facilities for each period.  The net present value of the revenue stream associated with the imputed facility's surcharge would be computed using the discount rate that is posted on Northwest's EBB and/or Designated Site. </w:t>
      </w:r>
    </w:p>
    <w:p>
      <w:pPr>
        <w:pStyle w:val="Normal"/>
        <w:widowControl/>
        <w:rPr>
          <w:rFonts w:ascii="Times New Roman" w:hAnsi="Times New Roman" w:cs="Times New Roman"/>
          <w:sz w:val="26"/>
        </w:rPr>
      </w:pPr>
      <w:r>
        <w:rPr>
          <w:rFonts w:cs="Times New Roman" w:ascii="Times New Roman" w:hAnsi="Times New Roman"/>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rFonts w:ascii="Times New Roman" w:hAnsi="Times New Roman" w:cs="Times New Roman"/>
          <w:sz w:val="26"/>
        </w:rPr>
      </w:pPr>
      <w:r>
        <w:rPr>
          <w:rFonts w:cs="Times New Roman" w:ascii="Times New Roman" w:hAnsi="Times New Roman"/>
          <w:sz w:val="26"/>
        </w:rPr>
        <w:t>Northwest states that the Tumwater Compressor Station and the Olympia Loop are the only lateral facilities currently being reimbursed on a cost-of-service basis.  Northwest states that in each case the applicable service reflects the parties' mutual agreement that the cost of service charge can be terminated by a shipper paying the remaining net book value of the facilities.  Thus, Northwest states that the proposed tariff changes do not impact them.</w:t>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rPr>
          <w:rFonts w:ascii="Times New Roman" w:hAnsi="Times New Roman" w:cs="Times New Roman"/>
          <w:sz w:val="26"/>
        </w:rPr>
      </w:pPr>
      <w:r>
        <w:rPr>
          <w:rFonts w:cs="Times New Roman" w:ascii="Times New Roman" w:hAnsi="Times New Roman"/>
          <w:sz w:val="26"/>
          <w:u w:val="single"/>
        </w:rPr>
        <w:t>The Request for Withdrawal</w:t>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ind w:firstLine="720" w:end="0"/>
        <w:rPr>
          <w:rFonts w:ascii="Times New Roman" w:hAnsi="Times New Roman" w:cs="Times New Roman"/>
          <w:sz w:val="26"/>
        </w:rPr>
      </w:pPr>
      <w:r>
        <w:rPr>
          <w:rFonts w:cs="Times New Roman" w:ascii="Times New Roman" w:hAnsi="Times New Roman"/>
          <w:sz w:val="26"/>
        </w:rPr>
        <w:t>Northwest requests the Commission to withdraw the tariff sheets filed on January 26, 2001, in Docket No. RP01-214-000.  The January 26 filing contained Northwest's initial proposal to revise Sections 21.3(a) and (e), by eliminating the lump sum payment option and changing the buyout of the facilities surcharge provision which uses the net book value method.  Northwest proposed that, in order to cease paying the surcharge, the shipper would pay Northwest the net present value of the remaining facilities surcharges.  Northwest concedes that it did not effectively explain the rationale for these changes and made the instant filing in order to provide more information and better describe its proposal.  Therefore, Northwest requests its original proposal filed on January 26, 2001, be withdrawn and be replaced by the instant filing.</w:t>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rPr>
          <w:rFonts w:ascii="Times New Roman" w:hAnsi="Times New Roman" w:cs="Times New Roman"/>
          <w:sz w:val="26"/>
        </w:rPr>
      </w:pPr>
      <w:r>
        <w:rPr>
          <w:rFonts w:cs="Times New Roman" w:ascii="Times New Roman" w:hAnsi="Times New Roman"/>
          <w:sz w:val="26"/>
          <w:u w:val="single"/>
        </w:rPr>
        <w:t>Public Notice, Interventions and Protests</w:t>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ind w:firstLine="720" w:end="0"/>
        <w:rPr>
          <w:rFonts w:ascii="Times New Roman" w:hAnsi="Times New Roman" w:cs="Times New Roman"/>
          <w:sz w:val="26"/>
        </w:rPr>
      </w:pPr>
      <w:r>
        <w:rPr>
          <w:rFonts w:cs="Times New Roman" w:ascii="Times New Roman" w:hAnsi="Times New Roman"/>
          <w:sz w:val="26"/>
        </w:rPr>
        <w:t xml:space="preserve">Public notice of Northwest's filing was issued on February 26, 2001.   Interventions and protests were due as provided in section 154.210 of the Commission's regulations (18 C.F.R. § 154.210 (1999)).  Pursuant to Rule 214, (18 C.F.R. § 385.214 (1999)), all timely filed motions to intervene and any motions to intervene out-of-time filed before the issuance date of this order are granted.  The filing was protested by Duke, Industrial Gas Users, and a joint protest was filed by Northwest Natural and Puget.   </w:t>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ind w:firstLine="720" w:end="0"/>
        <w:rPr>
          <w:rFonts w:ascii="Times New Roman" w:hAnsi="Times New Roman" w:cs="Times New Roman"/>
          <w:sz w:val="26"/>
        </w:rPr>
      </w:pPr>
      <w:r>
        <w:rPr>
          <w:rFonts w:cs="Times New Roman" w:ascii="Times New Roman" w:hAnsi="Times New Roman"/>
          <w:sz w:val="26"/>
          <w:u w:val="single"/>
        </w:rPr>
        <w:t>Elimination of Lump Sum Payment Option</w:t>
      </w:r>
    </w:p>
    <w:p>
      <w:pPr>
        <w:pStyle w:val="Normal"/>
        <w:widowControl/>
        <w:rPr>
          <w:rFonts w:ascii="Times New Roman" w:hAnsi="Times New Roman" w:cs="Times New Roman"/>
          <w:sz w:val="26"/>
        </w:rPr>
      </w:pPr>
      <w:r>
        <w:rPr>
          <w:rFonts w:cs="Times New Roman" w:ascii="Times New Roman" w:hAnsi="Times New Roman"/>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rFonts w:cs="Times New Roman" w:ascii="Times New Roman" w:hAnsi="Times New Roman"/>
          <w:sz w:val="26"/>
        </w:rPr>
        <w:t>Northwest Natural and Puget oppose elimination of the lump sum reimbursement  option for laterals because, they argue, maximizing shipper options in facility reimbursement has been the bedrock Commission principle on the Northwest system since issuance of Order No. 436.</w:t>
      </w:r>
      <w:r>
        <w:rPr>
          <w:rFonts w:cs="Times New Roman" w:ascii="Times New Roman" w:hAnsi="Times New Roman"/>
          <w:b/>
          <w:sz w:val="31"/>
          <w:vertAlign w:val="superscript"/>
        </w:rPr>
        <w:t> </w:t>
      </w:r>
      <w:r>
        <w:rPr>
          <w:rStyle w:val="FootnoteCharacters"/>
          <w:rStyle w:val="FootnoteReference"/>
          <w:rFonts w:cs="Times New Roman" w:ascii="Times New Roman" w:hAnsi="Times New Roman"/>
          <w:b/>
          <w:sz w:val="31"/>
          <w:vertAlign w:val="superscript"/>
        </w:rPr>
        <w:footnoteReference w:id="5"/>
      </w:r>
      <w:r>
        <w:rPr>
          <w:rFonts w:cs="Times New Roman" w:ascii="Times New Roman" w:hAnsi="Times New Roman"/>
          <w:sz w:val="26"/>
        </w:rPr>
        <w:t xml:space="preserve">  They state that the lump sum payment option has been available to customers on the Northwest system for at least 20 years.  They also state that, when Northwest proposed to eliminate facility surcharges (after surcharges had been approved five years earlier) and retain only the lump sum option, the Commission rejected that proposal and approved Northwest's other proposal.  The other proposal contained options that extended to shippers "the flexibility to tailor their reimbursement payments to Northwest, either by immediate lump-sum payment or by a cost-of-service payment over time, which includes four separate payment options." </w:t>
      </w:r>
      <w:r>
        <w:rPr>
          <w:rFonts w:cs="Times New Roman" w:ascii="Times New Roman" w:hAnsi="Times New Roman"/>
          <w:b/>
          <w:sz w:val="31"/>
          <w:vertAlign w:val="superscript"/>
        </w:rPr>
        <w:t> </w:t>
      </w:r>
      <w:r>
        <w:rPr>
          <w:rStyle w:val="FootnoteCharacters"/>
          <w:rStyle w:val="FootnoteReference"/>
          <w:rFonts w:cs="Times New Roman" w:ascii="Times New Roman" w:hAnsi="Times New Roman"/>
          <w:b/>
          <w:sz w:val="31"/>
          <w:vertAlign w:val="superscript"/>
        </w:rPr>
        <w:footnoteReference w:id="6"/>
      </w:r>
      <w:r>
        <w:rPr>
          <w:rFonts w:cs="Times New Roman" w:ascii="Times New Roman" w:hAnsi="Times New Roman"/>
          <w:sz w:val="26"/>
        </w:rPr>
        <w:t xml:space="preserve">  The protestors also argue against eliminating the lump sum option because they contend that Northwest has simply failed to support its proposal.  </w:t>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ind w:firstLine="720" w:end="0"/>
        <w:rPr>
          <w:rFonts w:ascii="Times New Roman" w:hAnsi="Times New Roman" w:cs="Times New Roman"/>
          <w:sz w:val="26"/>
        </w:rPr>
      </w:pPr>
      <w:r>
        <w:rPr>
          <w:rFonts w:cs="Times New Roman" w:ascii="Times New Roman" w:hAnsi="Times New Roman"/>
          <w:sz w:val="26"/>
        </w:rPr>
        <w:t xml:space="preserve">Northwest Natural and Puget state that Northwest provides no data on the number of lateral facility requests it has received this year, last year, or at any time in the past.  Consequently, they argue that the Commission has no basis upon which it can determine whether the number of requests for new laterals is increasing, decreasing, or staying the same.  Northwest Natural and Puget state that Northwest has also not shown whether the resources committed to these projects are sufficient to justify the elimination of the lump sum reimbursement option.  </w:t>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ind w:firstLine="720" w:end="0"/>
        <w:rPr/>
      </w:pPr>
      <w:r>
        <w:rPr>
          <w:rFonts w:cs="Times New Roman" w:ascii="Times New Roman" w:hAnsi="Times New Roman"/>
          <w:sz w:val="26"/>
        </w:rPr>
        <w:t>Northwest Natural and Puget concede that parties to the facility charge agreements in Docket No. CP01-49-000 implicitly waived their right to make a lump sum payment amount equal to the remaining book value.  However, Northwest Natural and Puget contend that Northwest's need to seek waiver of its tariff in connection with these agreements provides no grounds for Northwest to completely revise its tariff and entirely eliminate lump sum reimbursement options for laterals.  In short, Northwest Natural and Puget contend that Northwest has improperly seized on the facility charge agreements it negotiated in the special circumstances of the Everett Delta lateral project (17.2 million estimated capital cost) as a basis to rewrite the facility charge reimbursement provisions of its tariff.</w:t>
      </w:r>
      <w:r>
        <w:rPr>
          <w:rFonts w:cs="Times New Roman" w:ascii="Times New Roman" w:hAnsi="Times New Roman"/>
          <w:b/>
          <w:sz w:val="31"/>
          <w:vertAlign w:val="superscript"/>
        </w:rPr>
        <w:t> </w:t>
      </w:r>
      <w:r>
        <w:rPr>
          <w:rStyle w:val="FootnoteCharacters"/>
          <w:rStyle w:val="FootnoteReference"/>
          <w:rFonts w:cs="Times New Roman" w:ascii="Times New Roman" w:hAnsi="Times New Roman"/>
          <w:b/>
          <w:sz w:val="31"/>
          <w:vertAlign w:val="superscript"/>
        </w:rPr>
        <w:footnoteReference w:id="7"/>
      </w:r>
      <w:r>
        <w:rPr>
          <w:rFonts w:cs="Times New Roman" w:ascii="Times New Roman" w:hAnsi="Times New Roman"/>
          <w:sz w:val="26"/>
        </w:rPr>
        <w:t xml:space="preserve">  </w:t>
      </w:r>
    </w:p>
    <w:p>
      <w:pPr>
        <w:pStyle w:val="Normal"/>
        <w:widowControl/>
        <w:rPr>
          <w:rFonts w:ascii="Times New Roman" w:hAnsi="Times New Roman" w:cs="Times New Roman"/>
          <w:sz w:val="26"/>
        </w:rPr>
      </w:pPr>
      <w:r>
        <w:rPr>
          <w:rFonts w:cs="Times New Roman" w:ascii="Times New Roman" w:hAnsi="Times New Roman"/>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rFonts w:cs="Times New Roman" w:ascii="Times New Roman" w:hAnsi="Times New Roman"/>
          <w:sz w:val="26"/>
        </w:rPr>
        <w:t>Northwest Natural and Puget assert that Northwest has not demonstrated why the Commission should allow the substitution of an unclear net present value (NPV) calculation for the lump sum payment of known facility investment costs.  They argue that eliminating the option and substituting the NPV method will eliminate the shipper's option of cashing out of a facility charge arrangement and avoiding years of responsibility for monthly facility charges.</w:t>
      </w:r>
      <w:r>
        <w:rPr>
          <w:rFonts w:cs="Times New Roman" w:ascii="Times New Roman" w:hAnsi="Times New Roman"/>
          <w:b/>
          <w:sz w:val="31"/>
          <w:vertAlign w:val="superscript"/>
        </w:rPr>
        <w:t> </w:t>
      </w:r>
      <w:r>
        <w:rPr>
          <w:rStyle w:val="FootnoteCharacters"/>
          <w:rStyle w:val="FootnoteReference"/>
          <w:rFonts w:cs="Times New Roman" w:ascii="Times New Roman" w:hAnsi="Times New Roman"/>
          <w:b/>
          <w:sz w:val="31"/>
          <w:vertAlign w:val="superscript"/>
        </w:rPr>
        <w:footnoteReference w:id="8"/>
      </w:r>
      <w:r>
        <w:rPr>
          <w:rFonts w:cs="Times New Roman" w:ascii="Times New Roman" w:hAnsi="Times New Roman"/>
          <w:sz w:val="26"/>
        </w:rPr>
        <w:t xml:space="preserve">  They argue that Northwest provides no historical data on receipt and delivery facilities, including laterals, and other incremental projects, or on whether significant capital dollars and employee resources are being committed to these projects sufficient to justify the elimination of the lump sum reimbursement option.</w:t>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ind w:firstLine="720" w:end="0"/>
        <w:rPr>
          <w:rFonts w:ascii="Times New Roman" w:hAnsi="Times New Roman" w:cs="Times New Roman"/>
          <w:sz w:val="26"/>
        </w:rPr>
      </w:pPr>
      <w:r>
        <w:rPr>
          <w:rFonts w:cs="Times New Roman" w:ascii="Times New Roman" w:hAnsi="Times New Roman"/>
          <w:sz w:val="26"/>
        </w:rPr>
        <w:t>Northwest Natural and Puget also argue that eliminating the lump sum option is not appropriate because Northwest failed to address what facilities will be considered laterals and what facilities will be non-lateral receipt and delivery facilities.  Specifically, they argue that Northwest failed to discuss how it will treat projects that include both laterals and other facilities, how it will allocate costs between the two sets of facilities which are subject to different tariff provisions, shipper options, and rate and facility reimbursement treatment.</w:t>
      </w:r>
      <w:r>
        <w:rPr>
          <w:rFonts w:cs="Times New Roman" w:ascii="Times New Roman" w:hAnsi="Times New Roman"/>
          <w:b/>
          <w:sz w:val="31"/>
          <w:vertAlign w:val="superscript"/>
        </w:rPr>
        <w:t> </w:t>
      </w:r>
      <w:r>
        <w:rPr>
          <w:rStyle w:val="FootnoteCharacters"/>
          <w:rStyle w:val="FootnoteReference"/>
          <w:rFonts w:cs="Times New Roman" w:ascii="Times New Roman" w:hAnsi="Times New Roman"/>
          <w:b/>
          <w:sz w:val="31"/>
          <w:vertAlign w:val="superscript"/>
        </w:rPr>
        <w:footnoteReference w:id="9"/>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ind w:firstLine="720" w:end="0"/>
        <w:rPr/>
      </w:pPr>
      <w:r>
        <w:rPr>
          <w:rFonts w:cs="Times New Roman" w:ascii="Times New Roman" w:hAnsi="Times New Roman"/>
          <w:sz w:val="26"/>
        </w:rPr>
        <w:t>Duke states that it protested the facilities reimbursement changes proposed in RP01-214-000 because of several defects in the proposal and requested the Commission to reject the filing.  Duke asserts that Northwest's replacement filing continues to fail to address Duke's primary concern.  Duke argues that forcing lateral expansion shippers to reimburse Northwest via a surcharge, rather than the lump-sum option, is unsupported and unreasonable.  Duke states that it is still reviewing various aspects of the proposal (in particular Northwest 's claim that Duke's existing facilities reimbursement agreement is unaffected by the proposal) and; therefore, reserves the right to file supplemental comments or a protest if warranted.</w:t>
      </w:r>
      <w:r>
        <w:rPr>
          <w:rFonts w:cs="Times New Roman" w:ascii="Times New Roman" w:hAnsi="Times New Roman"/>
          <w:b/>
          <w:sz w:val="31"/>
          <w:vertAlign w:val="superscript"/>
        </w:rPr>
        <w:t> </w:t>
      </w:r>
      <w:r>
        <w:rPr>
          <w:rStyle w:val="FootnoteCharacters"/>
          <w:rStyle w:val="FootnoteReference"/>
          <w:rFonts w:cs="Times New Roman" w:ascii="Times New Roman" w:hAnsi="Times New Roman"/>
          <w:b/>
          <w:sz w:val="31"/>
          <w:vertAlign w:val="superscript"/>
        </w:rPr>
        <w:footnoteReference w:id="10"/>
      </w:r>
      <w:r>
        <w:rPr>
          <w:rFonts w:cs="Times New Roman" w:ascii="Times New Roman" w:hAnsi="Times New Roman"/>
          <w:sz w:val="26"/>
        </w:rPr>
        <w:t xml:space="preserve">    </w:t>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ind w:firstLine="720" w:end="0"/>
        <w:rPr>
          <w:rFonts w:ascii="Times New Roman" w:hAnsi="Times New Roman" w:cs="Times New Roman"/>
          <w:sz w:val="26"/>
        </w:rPr>
      </w:pPr>
      <w:r>
        <w:rPr>
          <w:rFonts w:cs="Times New Roman" w:ascii="Times New Roman" w:hAnsi="Times New Roman"/>
          <w:sz w:val="26"/>
        </w:rPr>
        <w:t>Industrial Gas Users argue that the removal of the lump sum payment option disadvantages expansion  shippers.  They request the Commission to reject the filing or, alternatively, to suspend it and set the matter for an evidentiary hearing.  Industrial Gas Users assert that Northwest's proposal would force shippers to reimburse the cost of construction by using a surcharge that is uncertain over the life of the payments.  In addition, Industrial Gas Users state that existing rights are taken away without explanation and that the only beneficiaries of Northwest's proposal are Northwest's shareholders.</w:t>
      </w:r>
      <w:r>
        <w:rPr>
          <w:rFonts w:cs="Times New Roman" w:ascii="Times New Roman" w:hAnsi="Times New Roman"/>
          <w:b/>
          <w:sz w:val="31"/>
          <w:vertAlign w:val="superscript"/>
        </w:rPr>
        <w:t> </w:t>
      </w:r>
      <w:r>
        <w:rPr>
          <w:rStyle w:val="FootnoteCharacters"/>
          <w:rStyle w:val="FootnoteReference"/>
          <w:rFonts w:cs="Times New Roman" w:ascii="Times New Roman" w:hAnsi="Times New Roman"/>
          <w:b/>
          <w:sz w:val="31"/>
          <w:vertAlign w:val="superscript"/>
        </w:rPr>
        <w:footnoteReference w:id="11"/>
      </w:r>
    </w:p>
    <w:p>
      <w:pPr>
        <w:pStyle w:val="Normal"/>
        <w:widowControl/>
        <w:rPr>
          <w:rFonts w:ascii="Times New Roman" w:hAnsi="Times New Roman" w:cs="Times New Roman"/>
          <w:sz w:val="26"/>
        </w:rPr>
      </w:pPr>
      <w:r>
        <w:rPr>
          <w:rFonts w:cs="Times New Roman" w:ascii="Times New Roman" w:hAnsi="Times New Roman"/>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rFonts w:ascii="Times New Roman" w:hAnsi="Times New Roman" w:cs="Times New Roman"/>
          <w:sz w:val="26"/>
        </w:rPr>
      </w:pPr>
      <w:r>
        <w:rPr>
          <w:rFonts w:cs="Times New Roman" w:ascii="Times New Roman" w:hAnsi="Times New Roman"/>
          <w:sz w:val="26"/>
        </w:rPr>
        <w:t>The Industrial Gas Users also assert that the use of the incremental surcharge discourages development of economically efficient projects. According to Industrial Gas Users, the lump sum payment option allows shippers to precisely quantify investment costs of facilities using their cost of capital assumptions.  They argue that the surcharge option permits shippers to, in effect, lease rather than buy the facilities.</w:t>
      </w:r>
      <w:r>
        <w:rPr>
          <w:rFonts w:cs="Times New Roman" w:ascii="Times New Roman" w:hAnsi="Times New Roman"/>
          <w:b/>
          <w:sz w:val="31"/>
          <w:vertAlign w:val="superscript"/>
        </w:rPr>
        <w:t> </w:t>
      </w:r>
      <w:r>
        <w:rPr>
          <w:rStyle w:val="FootnoteCharacters"/>
          <w:rStyle w:val="FootnoteReference"/>
          <w:rFonts w:cs="Times New Roman" w:ascii="Times New Roman" w:hAnsi="Times New Roman"/>
          <w:b/>
          <w:sz w:val="31"/>
          <w:vertAlign w:val="superscript"/>
        </w:rPr>
        <w:footnoteReference w:id="12"/>
      </w:r>
      <w:r>
        <w:rPr>
          <w:rFonts w:cs="Times New Roman" w:ascii="Times New Roman" w:hAnsi="Times New Roman"/>
          <w:sz w:val="26"/>
        </w:rPr>
        <w:t xml:space="preserve"> The Industrial Gas Users contend that Northwest's  proposal essentially forces shippers to take the lease only option (where Northwest can change payments over time but shippers will not be able to control or determine their costs).</w:t>
      </w:r>
      <w:r>
        <w:rPr>
          <w:rFonts w:cs="Times New Roman" w:ascii="Times New Roman" w:hAnsi="Times New Roman"/>
          <w:b/>
          <w:sz w:val="31"/>
          <w:vertAlign w:val="superscript"/>
        </w:rPr>
        <w:t> </w:t>
      </w:r>
      <w:r>
        <w:rPr>
          <w:rStyle w:val="FootnoteCharacters"/>
          <w:rStyle w:val="FootnoteReference"/>
          <w:rFonts w:cs="Times New Roman" w:ascii="Times New Roman" w:hAnsi="Times New Roman"/>
          <w:b/>
          <w:sz w:val="31"/>
          <w:vertAlign w:val="superscript"/>
        </w:rPr>
        <w:footnoteReference w:id="13"/>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ind w:firstLine="720" w:end="0"/>
        <w:rPr>
          <w:rFonts w:ascii="Times New Roman" w:hAnsi="Times New Roman" w:cs="Times New Roman"/>
          <w:sz w:val="26"/>
        </w:rPr>
      </w:pPr>
      <w:r>
        <w:rPr>
          <w:rFonts w:cs="Times New Roman" w:ascii="Times New Roman" w:hAnsi="Times New Roman"/>
          <w:sz w:val="26"/>
        </w:rPr>
        <w:t>Further, the Industrial Gas Users state that Northwest's inclusion of the language that shippers can build the lateral itself is of no significance; it is an attempt by Northwest to leverage its power of eminent domain under the NGA.  Industrial Gas Users contend that this power is not available to private entities that are not natural gas companies.</w:t>
      </w:r>
      <w:r>
        <w:rPr>
          <w:rFonts w:cs="Times New Roman" w:ascii="Times New Roman" w:hAnsi="Times New Roman"/>
          <w:b/>
          <w:sz w:val="31"/>
          <w:vertAlign w:val="superscript"/>
        </w:rPr>
        <w:t> </w:t>
      </w:r>
      <w:r>
        <w:rPr>
          <w:rStyle w:val="FootnoteCharacters"/>
          <w:rStyle w:val="FootnoteReference"/>
          <w:rFonts w:cs="Times New Roman" w:ascii="Times New Roman" w:hAnsi="Times New Roman"/>
          <w:b/>
          <w:sz w:val="31"/>
          <w:vertAlign w:val="superscript"/>
        </w:rPr>
        <w:footnoteReference w:id="14"/>
      </w:r>
      <w:r>
        <w:rPr>
          <w:rFonts w:cs="Times New Roman" w:ascii="Times New Roman" w:hAnsi="Times New Roman"/>
          <w:sz w:val="26"/>
        </w:rPr>
        <w:t xml:space="preserve">  The Industrial Gas Users state that Northwest's current tariff gives Shippers flexibility and they cite the 1997 Northwest case to support its argument that shippers should have flexibility.</w:t>
      </w:r>
      <w:r>
        <w:rPr>
          <w:rFonts w:cs="Times New Roman" w:ascii="Times New Roman" w:hAnsi="Times New Roman"/>
          <w:b/>
          <w:sz w:val="31"/>
          <w:vertAlign w:val="superscript"/>
        </w:rPr>
        <w:t> </w:t>
      </w:r>
      <w:r>
        <w:rPr>
          <w:rStyle w:val="FootnoteCharacters"/>
          <w:rStyle w:val="FootnoteReference"/>
          <w:rFonts w:cs="Times New Roman" w:ascii="Times New Roman" w:hAnsi="Times New Roman"/>
          <w:b/>
          <w:sz w:val="31"/>
          <w:vertAlign w:val="superscript"/>
        </w:rPr>
        <w:footnoteReference w:id="15"/>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ind w:firstLine="720" w:end="0"/>
        <w:rPr>
          <w:rFonts w:ascii="Times New Roman" w:hAnsi="Times New Roman" w:cs="Times New Roman"/>
          <w:sz w:val="26"/>
        </w:rPr>
      </w:pPr>
      <w:r>
        <w:rPr>
          <w:rFonts w:cs="Times New Roman" w:ascii="Times New Roman" w:hAnsi="Times New Roman"/>
          <w:sz w:val="26"/>
          <w:u w:val="single"/>
        </w:rPr>
        <w:t>The NPV and DCF Methods</w:t>
      </w:r>
    </w:p>
    <w:p>
      <w:pPr>
        <w:pStyle w:val="Normal"/>
        <w:widowControl/>
        <w:rPr>
          <w:rFonts w:ascii="Times New Roman" w:hAnsi="Times New Roman" w:cs="Times New Roman"/>
          <w:sz w:val="26"/>
        </w:rPr>
      </w:pPr>
      <w:r>
        <w:rPr>
          <w:rFonts w:cs="Times New Roman" w:ascii="Times New Roman" w:hAnsi="Times New Roman"/>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rFonts w:ascii="Times New Roman" w:hAnsi="Times New Roman" w:cs="Times New Roman"/>
          <w:sz w:val="26"/>
        </w:rPr>
      </w:pPr>
      <w:r>
        <w:rPr>
          <w:rFonts w:cs="Times New Roman" w:ascii="Times New Roman" w:hAnsi="Times New Roman"/>
          <w:sz w:val="26"/>
        </w:rPr>
        <w:t>Northwest Natural and Puget argue that, if the facility charges for current projects must be trued up in the future, the net present value of the "facility surcharge revenues to be received" by Northwest over the remaining term of the applicable service agreement cannot be determined.</w:t>
      </w:r>
      <w:r>
        <w:rPr>
          <w:rFonts w:cs="Times New Roman" w:ascii="Times New Roman" w:hAnsi="Times New Roman"/>
          <w:b/>
          <w:sz w:val="31"/>
          <w:vertAlign w:val="superscript"/>
        </w:rPr>
        <w:t> </w:t>
      </w:r>
      <w:r>
        <w:rPr>
          <w:rStyle w:val="FootnoteCharacters"/>
          <w:rStyle w:val="FootnoteReference"/>
          <w:rFonts w:cs="Times New Roman" w:ascii="Times New Roman" w:hAnsi="Times New Roman"/>
          <w:b/>
          <w:sz w:val="31"/>
          <w:vertAlign w:val="superscript"/>
        </w:rPr>
        <w:footnoteReference w:id="16"/>
      </w:r>
      <w:r>
        <w:rPr>
          <w:rFonts w:cs="Times New Roman" w:ascii="Times New Roman" w:hAnsi="Times New Roman"/>
          <w:sz w:val="26"/>
        </w:rPr>
        <w:t xml:space="preserve">  They state that the facility's surcharges will be reduced over time to reflect depreciation and reduced rate base.  Yet, they argue that Northwest fails to discuss or provide any examples of how its NPV methodology would apply to existing facility surcharges and revenues for any facility reimbursement project (and specifically the Olympia, Tumwater, or SUB projects). </w:t>
      </w:r>
      <w:r>
        <w:rPr>
          <w:rFonts w:cs="Times New Roman" w:ascii="Times New Roman" w:hAnsi="Times New Roman"/>
          <w:b/>
          <w:sz w:val="31"/>
          <w:vertAlign w:val="superscript"/>
        </w:rPr>
        <w:t> </w:t>
      </w:r>
      <w:r>
        <w:rPr>
          <w:rStyle w:val="FootnoteCharacters"/>
          <w:rStyle w:val="FootnoteReference"/>
          <w:rFonts w:cs="Times New Roman" w:ascii="Times New Roman" w:hAnsi="Times New Roman"/>
          <w:b/>
          <w:sz w:val="31"/>
          <w:vertAlign w:val="superscript"/>
        </w:rPr>
        <w:footnoteReference w:id="17"/>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ind w:firstLine="720" w:end="0"/>
        <w:rPr>
          <w:rFonts w:ascii="Times New Roman" w:hAnsi="Times New Roman" w:cs="Times New Roman"/>
          <w:sz w:val="26"/>
        </w:rPr>
      </w:pPr>
      <w:r>
        <w:rPr>
          <w:rFonts w:cs="Times New Roman" w:ascii="Times New Roman" w:hAnsi="Times New Roman"/>
          <w:sz w:val="26"/>
        </w:rPr>
        <w:t>The protestors argue that Northwest failed to address how the NPV method would be applied to the four Commission-approved</w:t>
      </w:r>
      <w:r>
        <w:rPr>
          <w:rFonts w:cs="Times New Roman" w:ascii="Times New Roman" w:hAnsi="Times New Roman"/>
          <w:b/>
          <w:sz w:val="31"/>
          <w:vertAlign w:val="superscript"/>
        </w:rPr>
        <w:t> </w:t>
      </w:r>
      <w:r>
        <w:rPr>
          <w:rStyle w:val="FootnoteCharacters"/>
          <w:rStyle w:val="FootnoteReference"/>
          <w:rFonts w:cs="Times New Roman" w:ascii="Times New Roman" w:hAnsi="Times New Roman"/>
          <w:b/>
          <w:sz w:val="31"/>
          <w:vertAlign w:val="superscript"/>
        </w:rPr>
        <w:footnoteReference w:id="18"/>
      </w:r>
      <w:r>
        <w:rPr>
          <w:rFonts w:cs="Times New Roman" w:ascii="Times New Roman" w:hAnsi="Times New Roman"/>
          <w:sz w:val="26"/>
        </w:rPr>
        <w:t xml:space="preserve"> rate methodology options contained in Section 21.3(b) of Northwest's GT&amp;C.</w:t>
      </w:r>
      <w:r>
        <w:rPr>
          <w:rFonts w:cs="Times New Roman" w:ascii="Times New Roman" w:hAnsi="Times New Roman"/>
          <w:b/>
          <w:sz w:val="31"/>
          <w:vertAlign w:val="superscript"/>
        </w:rPr>
        <w:t> </w:t>
      </w:r>
      <w:r>
        <w:rPr>
          <w:rStyle w:val="FootnoteCharacters"/>
          <w:rStyle w:val="FootnoteReference"/>
          <w:rFonts w:cs="Times New Roman" w:ascii="Times New Roman" w:hAnsi="Times New Roman"/>
          <w:b/>
          <w:sz w:val="31"/>
          <w:vertAlign w:val="superscript"/>
        </w:rPr>
        <w:footnoteReference w:id="19"/>
      </w:r>
      <w:r>
        <w:rPr>
          <w:rFonts w:cs="Times New Roman" w:ascii="Times New Roman" w:hAnsi="Times New Roman"/>
          <w:sz w:val="26"/>
        </w:rPr>
        <w:t xml:space="preserve">  The protestors also argue that Northwest failed to provide any information on the discounted cash flow (DCF) rate of return it will use as the discounting rate in the NPV method.  They argue that Northwest failed to provide any information on the discounting rates it has posted on its EBB to date.  As a result, the protestors contend that the Commission can have no assurance that Northwest's discounting rates would be reasonable under the NPV method.</w:t>
      </w:r>
      <w:r>
        <w:rPr>
          <w:rFonts w:cs="Times New Roman" w:ascii="Times New Roman" w:hAnsi="Times New Roman"/>
          <w:b/>
          <w:sz w:val="31"/>
          <w:vertAlign w:val="superscript"/>
        </w:rPr>
        <w:t> </w:t>
      </w:r>
      <w:r>
        <w:rPr>
          <w:rStyle w:val="FootnoteCharacters"/>
          <w:rStyle w:val="FootnoteReference"/>
          <w:rFonts w:cs="Times New Roman" w:ascii="Times New Roman" w:hAnsi="Times New Roman"/>
          <w:b/>
          <w:sz w:val="31"/>
          <w:vertAlign w:val="superscript"/>
        </w:rPr>
        <w:footnoteReference w:id="20"/>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ind w:firstLine="720" w:end="0"/>
        <w:rPr>
          <w:rFonts w:ascii="Times New Roman" w:hAnsi="Times New Roman" w:cs="Times New Roman"/>
          <w:sz w:val="26"/>
        </w:rPr>
      </w:pPr>
      <w:r>
        <w:rPr>
          <w:rFonts w:cs="Times New Roman" w:ascii="Times New Roman" w:hAnsi="Times New Roman"/>
          <w:sz w:val="26"/>
        </w:rPr>
        <w:t>Based on the above arguments, Northwest Natural and Puget assert that Northwest has not shown that future surcharge revenues could be accurately and properly determined for the remaining term.  Moreover, they contend that Northwest currently receives no facility charges upon payment of remaining net investment.  Therefore, they argue that it is unreasonable to go from that system to one where Northwest would guarantee itself the NPV of the entire, future facility charge revenue stream.  Northwest Natural and Puget suggest that a reasonable alternative to Northwest's proposal would be to continue to allow a shipper a net book value payment option after facility charges have been paid for a period of five years.  They contend that this would avoid the need to calculate an NPV but would also give Northwest and a shipper the option to negotiate other arrangements.</w:t>
      </w:r>
      <w:r>
        <w:rPr>
          <w:rFonts w:cs="Times New Roman" w:ascii="Times New Roman" w:hAnsi="Times New Roman"/>
          <w:b/>
          <w:sz w:val="31"/>
          <w:vertAlign w:val="superscript"/>
        </w:rPr>
        <w:t> </w:t>
      </w:r>
      <w:r>
        <w:rPr>
          <w:rStyle w:val="FootnoteCharacters"/>
          <w:rStyle w:val="FootnoteReference"/>
          <w:rFonts w:cs="Times New Roman" w:ascii="Times New Roman" w:hAnsi="Times New Roman"/>
          <w:b/>
          <w:sz w:val="31"/>
          <w:vertAlign w:val="superscript"/>
        </w:rPr>
        <w:footnoteReference w:id="21"/>
      </w:r>
    </w:p>
    <w:p>
      <w:pPr>
        <w:pStyle w:val="Normal"/>
        <w:widowControl/>
        <w:rPr>
          <w:rFonts w:ascii="Times New Roman" w:hAnsi="Times New Roman" w:cs="Times New Roman"/>
          <w:sz w:val="26"/>
        </w:rPr>
      </w:pPr>
      <w:r>
        <w:rPr>
          <w:rFonts w:cs="Times New Roman" w:ascii="Times New Roman" w:hAnsi="Times New Roman"/>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rFonts w:ascii="Times New Roman" w:hAnsi="Times New Roman" w:cs="Times New Roman"/>
          <w:sz w:val="26"/>
        </w:rPr>
      </w:pPr>
      <w:r>
        <w:rPr>
          <w:rFonts w:cs="Times New Roman" w:ascii="Times New Roman" w:hAnsi="Times New Roman"/>
          <w:sz w:val="26"/>
          <w:u w:val="single"/>
        </w:rPr>
        <w:t>Prospective Application</w:t>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ind w:firstLine="720" w:end="0"/>
        <w:rPr>
          <w:rFonts w:ascii="Times New Roman" w:hAnsi="Times New Roman" w:cs="Times New Roman"/>
          <w:sz w:val="26"/>
        </w:rPr>
      </w:pPr>
      <w:r>
        <w:rPr>
          <w:rFonts w:cs="Times New Roman" w:ascii="Times New Roman" w:hAnsi="Times New Roman"/>
          <w:sz w:val="26"/>
        </w:rPr>
        <w:t>Northwest Natural and Puget state that, at a minimum, if the Commission accepts Northwest's proposal, the elimination of the lump sum payment option should not apply to shippers that have executed Exhibit C agreements with Northwest for facility surcharges.  They contend that the first sentence of Section 21.3 should be revised as follows:</w:t>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ind w:start="1440" w:end="1440"/>
        <w:rPr>
          <w:rFonts w:ascii="Times New Roman" w:hAnsi="Times New Roman" w:cs="Times New Roman"/>
          <w:sz w:val="26"/>
        </w:rPr>
      </w:pPr>
      <w:r>
        <w:rPr>
          <w:rFonts w:cs="Times New Roman" w:ascii="Times New Roman" w:hAnsi="Times New Roman"/>
          <w:sz w:val="26"/>
        </w:rPr>
        <w:t>All receipt or delivery facilities constructed by Transporter hereunder will be paid for by Shipper as provided below, except that laterals constructed under Exhibit C of applicable service agreements executed after February 26, 2001 may not be paid for in accordance with Sections 21.3(a) or 21.3(e) unless mutually agreed to by Transporter and Shipper.</w:t>
      </w:r>
      <w:r>
        <w:rPr>
          <w:rFonts w:cs="Times New Roman" w:ascii="Times New Roman" w:hAnsi="Times New Roman"/>
          <w:b/>
          <w:sz w:val="31"/>
          <w:vertAlign w:val="superscript"/>
        </w:rPr>
        <w:t> </w:t>
      </w:r>
      <w:r>
        <w:rPr>
          <w:rStyle w:val="FootnoteCharacters"/>
          <w:rStyle w:val="FootnoteReference"/>
          <w:rFonts w:cs="Times New Roman" w:ascii="Times New Roman" w:hAnsi="Times New Roman"/>
          <w:b/>
          <w:sz w:val="31"/>
          <w:vertAlign w:val="superscript"/>
        </w:rPr>
        <w:footnoteReference w:id="22"/>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rPr>
          <w:rFonts w:ascii="Times New Roman" w:hAnsi="Times New Roman" w:cs="Times New Roman"/>
          <w:sz w:val="26"/>
        </w:rPr>
      </w:pPr>
      <w:r>
        <w:rPr>
          <w:rFonts w:cs="Times New Roman" w:ascii="Times New Roman" w:hAnsi="Times New Roman"/>
          <w:sz w:val="26"/>
          <w:u w:val="single"/>
        </w:rPr>
        <w:t>Discussion</w:t>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ind w:firstLine="720" w:end="0"/>
        <w:rPr/>
      </w:pPr>
      <w:r>
        <w:rPr>
          <w:rFonts w:cs="Times New Roman" w:ascii="Times New Roman" w:hAnsi="Times New Roman"/>
          <w:sz w:val="26"/>
        </w:rPr>
        <w:t xml:space="preserve">In </w:t>
      </w:r>
      <w:r>
        <w:rPr>
          <w:rFonts w:cs="Times New Roman" w:ascii="Times New Roman" w:hAnsi="Times New Roman"/>
          <w:sz w:val="26"/>
          <w:u w:val="single"/>
        </w:rPr>
        <w:t>Panhandle Eastern Pipe Line Company</w:t>
      </w:r>
      <w:r>
        <w:rPr>
          <w:rFonts w:cs="Times New Roman" w:ascii="Times New Roman" w:hAnsi="Times New Roman"/>
          <w:sz w:val="26"/>
        </w:rPr>
        <w:t xml:space="preserve"> (</w:t>
      </w:r>
      <w:r>
        <w:rPr>
          <w:rFonts w:cs="Times New Roman" w:ascii="Times New Roman" w:hAnsi="Times New Roman"/>
          <w:sz w:val="26"/>
          <w:u w:val="single"/>
        </w:rPr>
        <w:t>Panhandle</w:t>
      </w:r>
      <w:r>
        <w:rPr>
          <w:rFonts w:cs="Times New Roman" w:ascii="Times New Roman" w:hAnsi="Times New Roman"/>
          <w:sz w:val="26"/>
        </w:rPr>
        <w:t xml:space="preserve">), the Commission stated that its interconnect policy is designed to maximize use of the pipeline grid in order to afford consumers more energy alternatives and lessen the impact of energy supply disruptions on the entire nation. </w:t>
      </w:r>
      <w:r>
        <w:rPr>
          <w:rFonts w:cs="Times New Roman" w:ascii="Times New Roman" w:hAnsi="Times New Roman"/>
          <w:b/>
          <w:sz w:val="31"/>
          <w:vertAlign w:val="superscript"/>
        </w:rPr>
        <w:t> </w:t>
      </w:r>
      <w:r>
        <w:rPr>
          <w:rStyle w:val="FootnoteCharacters"/>
          <w:rStyle w:val="FootnoteReference"/>
          <w:rFonts w:cs="Times New Roman" w:ascii="Times New Roman" w:hAnsi="Times New Roman"/>
          <w:b/>
          <w:sz w:val="31"/>
          <w:vertAlign w:val="superscript"/>
        </w:rPr>
        <w:footnoteReference w:id="23"/>
      </w:r>
      <w:r>
        <w:rPr>
          <w:rFonts w:cs="Times New Roman" w:ascii="Times New Roman" w:hAnsi="Times New Roman"/>
          <w:sz w:val="26"/>
        </w:rPr>
        <w:t xml:space="preserve">  Under </w:t>
      </w:r>
      <w:r>
        <w:rPr>
          <w:rFonts w:cs="Times New Roman" w:ascii="Times New Roman" w:hAnsi="Times New Roman"/>
          <w:sz w:val="26"/>
          <w:u w:val="single"/>
        </w:rPr>
        <w:t>Panhandle</w:t>
      </w:r>
      <w:r>
        <w:rPr>
          <w:rFonts w:cs="Times New Roman" w:ascii="Times New Roman" w:hAnsi="Times New Roman"/>
          <w:sz w:val="26"/>
        </w:rPr>
        <w:t xml:space="preserve"> pipelines must allow shippers to interconnect with the pipeline's facilities if five conditions are met.</w:t>
      </w:r>
      <w:r>
        <w:rPr>
          <w:rFonts w:cs="Times New Roman" w:ascii="Times New Roman" w:hAnsi="Times New Roman"/>
          <w:b/>
          <w:sz w:val="31"/>
          <w:vertAlign w:val="superscript"/>
        </w:rPr>
        <w:t> </w:t>
      </w:r>
      <w:r>
        <w:rPr>
          <w:rStyle w:val="FootnoteCharacters"/>
          <w:rStyle w:val="FootnoteReference"/>
          <w:rFonts w:cs="Times New Roman" w:ascii="Times New Roman" w:hAnsi="Times New Roman"/>
          <w:b/>
          <w:sz w:val="31"/>
          <w:vertAlign w:val="superscript"/>
        </w:rPr>
        <w:footnoteReference w:id="24"/>
      </w:r>
      <w:r>
        <w:rPr>
          <w:rFonts w:cs="Times New Roman" w:ascii="Times New Roman" w:hAnsi="Times New Roman"/>
          <w:sz w:val="26"/>
        </w:rPr>
        <w:t xml:space="preserve">  Northwest's revised tariff provides that a shipper is not precluded from constructing and operating its own lateral.  However, the protestors have raised a number of concerns about Northwest's proposal. </w:t>
      </w:r>
    </w:p>
    <w:p>
      <w:pPr>
        <w:pStyle w:val="Normal"/>
        <w:widowControl/>
        <w:rPr>
          <w:rFonts w:ascii="Times New Roman" w:hAnsi="Times New Roman" w:cs="Times New Roman"/>
          <w:sz w:val="26"/>
        </w:rPr>
      </w:pPr>
      <w:r>
        <w:rPr>
          <w:rFonts w:cs="Times New Roman" w:ascii="Times New Roman" w:hAnsi="Times New Roman"/>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rFonts w:ascii="Times New Roman" w:hAnsi="Times New Roman" w:cs="Times New Roman"/>
          <w:sz w:val="26"/>
        </w:rPr>
      </w:pPr>
      <w:r>
        <w:rPr>
          <w:rFonts w:cs="Times New Roman" w:ascii="Times New Roman" w:hAnsi="Times New Roman"/>
          <w:sz w:val="26"/>
        </w:rPr>
        <w:t xml:space="preserve">Under Northwest's current tariff, when Northwest constructs a lateral for a shipper the shipper has two financial reimbursement options: the lump sum payment method and the rate surcharge method.  In this filing, Northwest proposes to remove the lump sum payment method and to change the method by which shippers can pay off the surcharge early.  The Commission has concerns about whether Northwest's proposed tariff is just and reasonable.  The Commission, therefore, will accept and suspend the tariff sheets, to become effective August 16, 2001, subject to refund and subject to the conditions discussed below.  </w:t>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ind w:firstLine="720" w:end="0"/>
        <w:rPr>
          <w:rFonts w:ascii="Times New Roman" w:hAnsi="Times New Roman" w:cs="Times New Roman"/>
          <w:sz w:val="26"/>
        </w:rPr>
      </w:pPr>
      <w:r>
        <w:rPr>
          <w:rFonts w:cs="Times New Roman" w:ascii="Times New Roman" w:hAnsi="Times New Roman"/>
          <w:sz w:val="26"/>
        </w:rPr>
        <w:t xml:space="preserve">The Commission has various concerns about the removal of the lump sum payment option as well as the proposal to change the method by which shippers can pay off the surcharge early.  For example, Northwest proposes that a shipper must pay the net present value of its future surcharge payments calculated using the discounted cash flow methodology.  Northwest gives a brief description in the transmittal letter about how it will perform the calculation for the net present value of the facilities surcharge, but does not indicate how it will determine the discount rate used in the calculation. </w:t>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rPr>
          <w:rFonts w:ascii="Times New Roman" w:hAnsi="Times New Roman" w:cs="Times New Roman"/>
          <w:sz w:val="26"/>
        </w:rPr>
      </w:pPr>
      <w:r>
        <w:rPr>
          <w:rFonts w:cs="Times New Roman" w:ascii="Times New Roman" w:hAnsi="Times New Roman"/>
          <w:sz w:val="26"/>
        </w:rPr>
        <w:t xml:space="preserve"> </w:t>
      </w:r>
      <w:r>
        <w:rPr>
          <w:rFonts w:cs="Times New Roman" w:ascii="Times New Roman" w:hAnsi="Times New Roman"/>
          <w:sz w:val="26"/>
        </w:rPr>
        <w:tab/>
        <w:t>Therefore, Northwest is required to answer the questions in Appendix B within 30 days of the date of this order.  Northwest is also directed to: (1) explain how it will determine what facilities will be considered laterals and what facilities will be non</w:t>
        <w:noBreakHyphen/>
        <w:t>lateral receipt and delivery facilities; (2) discuss how it will treat projects which include both lateral and other facilities and how it will allocate costs between the two sets of facilities which are subject to different tariff provisions, shipper options, and rate and facility reimbursement treatments; and (3) discuss whether Northwest ever utilizes eminent domain authority in constructing laterals and whether a customer seeking to construct the lateral on its own have equal ability to exercise domain authority?</w:t>
      </w:r>
    </w:p>
    <w:p>
      <w:pPr>
        <w:pStyle w:val="Normal"/>
        <w:widowControl/>
        <w:rPr>
          <w:rFonts w:ascii="Times New Roman" w:hAnsi="Times New Roman" w:cs="Times New Roman"/>
          <w:sz w:val="26"/>
        </w:rPr>
      </w:pPr>
      <w:r>
        <w:rPr>
          <w:rFonts w:cs="Times New Roman" w:ascii="Times New Roman" w:hAnsi="Times New Roman"/>
          <w:sz w:val="26"/>
        </w:rPr>
        <w:t xml:space="preserve"> </w:t>
      </w:r>
    </w:p>
    <w:p>
      <w:pPr>
        <w:pStyle w:val="Normal"/>
        <w:widowControl/>
        <w:ind w:firstLine="720" w:end="0"/>
        <w:rPr>
          <w:rFonts w:ascii="Times New Roman" w:hAnsi="Times New Roman" w:cs="Times New Roman"/>
          <w:sz w:val="26"/>
        </w:rPr>
      </w:pPr>
      <w:r>
        <w:rPr>
          <w:rFonts w:cs="Times New Roman" w:ascii="Times New Roman" w:hAnsi="Times New Roman"/>
          <w:sz w:val="26"/>
        </w:rPr>
        <w:t>Finally, protesters ask for clarification that, if Northwest's proposal is approved, the  proposed changes will not affect projects already undertaken.  Northwest agrees that its change will not impact the lateral facilities currently being reimbursed on a cost-of-service basis.  The Commission clarifies that the revisions accepted herein will apply prospectively from the effective date of acceptance.  Reimbursement agreements executed prior to that date were done so in reliance on specific financial consequences that could result under the prior tariff provisions, so we will not overturn the basis of such decisions.  All projects undertaken based on the currently effective tariff will continue under the tariff provisions existing when the agreement was executed.  Northwest is directed to revise its tariff accordingly.</w:t>
      </w:r>
    </w:p>
    <w:p>
      <w:pPr>
        <w:pStyle w:val="Normal"/>
        <w:widowControl/>
        <w:rPr>
          <w:rFonts w:ascii="Times New Roman" w:hAnsi="Times New Roman" w:cs="Times New Roman"/>
          <w:sz w:val="26"/>
        </w:rPr>
      </w:pPr>
      <w:r>
        <w:rPr>
          <w:rFonts w:cs="Times New Roman" w:ascii="Times New Roman" w:hAnsi="Times New Roman"/>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rPr>
          <w:rFonts w:ascii="Times New Roman" w:hAnsi="Times New Roman" w:cs="Times New Roman"/>
          <w:sz w:val="26"/>
        </w:rPr>
      </w:pPr>
      <w:r>
        <w:rPr>
          <w:rFonts w:cs="Times New Roman" w:ascii="Times New Roman" w:hAnsi="Times New Roman"/>
          <w:sz w:val="26"/>
          <w:u w:val="single"/>
        </w:rPr>
        <w:t>Suspension</w:t>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ind w:firstLine="720" w:end="0"/>
        <w:rPr>
          <w:rFonts w:ascii="Times New Roman" w:hAnsi="Times New Roman" w:cs="Times New Roman"/>
          <w:sz w:val="26"/>
        </w:rPr>
      </w:pPr>
      <w:r>
        <w:rPr>
          <w:rFonts w:cs="Times New Roman" w:ascii="Times New Roman" w:hAnsi="Times New Roman"/>
          <w:sz w:val="26"/>
        </w:rPr>
        <w:t>Based on a review of the filing, the Commission finds that the proposed tariff sheets have not been shown to be just and reasonable, and may be unjust, unreasonable, unduly discriminatory, or otherwise unlawful.  Accordingly, the Commission will accept the tariff sheets for filing, and suspend their effectiveness for the period set forth below, subject to the conditions in this order.</w:t>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ind w:firstLine="720" w:end="-180"/>
        <w:rPr/>
      </w:pPr>
      <w:r>
        <w:rPr>
          <w:rFonts w:cs="Times New Roman" w:ascii="Times New Roman" w:hAnsi="Times New Roman"/>
          <w:sz w:val="26"/>
        </w:rPr>
        <w:t xml:space="preserve">The Commission's policy regarding rate suspensions is that rate filings generally should be suspended for the maximum period permitted by statute where preliminary study leads the Commission to believe that the filing may be unjust, unreasonable, or that it may be inconsistent with other statutory standards.  </w:t>
      </w:r>
      <w:r>
        <w:rPr>
          <w:rFonts w:cs="Times New Roman" w:ascii="Times New Roman" w:hAnsi="Times New Roman"/>
          <w:sz w:val="26"/>
          <w:u w:val="single"/>
        </w:rPr>
        <w:t>See</w:t>
      </w:r>
      <w:r>
        <w:rPr>
          <w:rFonts w:cs="Times New Roman" w:ascii="Times New Roman" w:hAnsi="Times New Roman"/>
          <w:sz w:val="26"/>
        </w:rPr>
        <w:t xml:space="preserve"> </w:t>
      </w:r>
      <w:r>
        <w:rPr>
          <w:rFonts w:cs="Times New Roman" w:ascii="Times New Roman" w:hAnsi="Times New Roman"/>
          <w:sz w:val="26"/>
          <w:u w:val="single"/>
        </w:rPr>
        <w:t>Great Lakes Gas Transmission Co.</w:t>
      </w:r>
      <w:r>
        <w:rPr>
          <w:rFonts w:cs="Times New Roman" w:ascii="Times New Roman" w:hAnsi="Times New Roman"/>
          <w:sz w:val="26"/>
        </w:rPr>
        <w:t xml:space="preserve">, 12 FERC ¶ 61,293 (1980) (five-month suspension).  It is recognized, however, that shorter suspensions may be warranted in circumstances where suspension for the maximum period may lead to harsh and inequitable results.  </w:t>
      </w:r>
      <w:r>
        <w:rPr>
          <w:rFonts w:cs="Times New Roman" w:ascii="Times New Roman" w:hAnsi="Times New Roman"/>
          <w:sz w:val="26"/>
          <w:u w:val="single"/>
        </w:rPr>
        <w:t>See</w:t>
      </w:r>
      <w:r>
        <w:rPr>
          <w:rFonts w:cs="Times New Roman" w:ascii="Times New Roman" w:hAnsi="Times New Roman"/>
          <w:sz w:val="26"/>
        </w:rPr>
        <w:t xml:space="preserve"> </w:t>
      </w:r>
      <w:r>
        <w:rPr>
          <w:rFonts w:cs="Times New Roman" w:ascii="Times New Roman" w:hAnsi="Times New Roman"/>
          <w:sz w:val="26"/>
          <w:u w:val="single"/>
        </w:rPr>
        <w:t>Valley Gas Transmission, Inc.</w:t>
      </w:r>
      <w:r>
        <w:rPr>
          <w:rFonts w:cs="Times New Roman" w:ascii="Times New Roman" w:hAnsi="Times New Roman"/>
          <w:sz w:val="26"/>
        </w:rPr>
        <w:t>, 12 FERC ¶ 61,197 (1980) (minimum suspension).  Such circumstances do not exist here.  Therefore, the Commission will accept and suspend the proposed tariff sheets for five months to be effective August 16, 2001, subject to refund and conditions.</w:t>
      </w:r>
    </w:p>
    <w:p>
      <w:pPr>
        <w:pStyle w:val="Normal"/>
        <w:widowControl/>
        <w:ind w:end="-180"/>
        <w:rPr>
          <w:rFonts w:ascii="Times New Roman" w:hAnsi="Times New Roman" w:cs="Times New Roman"/>
          <w:sz w:val="26"/>
        </w:rPr>
      </w:pPr>
      <w:r>
        <w:rPr>
          <w:rFonts w:cs="Times New Roman" w:ascii="Times New Roman" w:hAnsi="Times New Roman"/>
          <w:sz w:val="26"/>
        </w:rPr>
      </w:r>
    </w:p>
    <w:p>
      <w:pPr>
        <w:pStyle w:val="Normal"/>
        <w:widowControl/>
        <w:ind w:end="-180"/>
        <w:rPr/>
      </w:pPr>
      <w:r>
        <w:rPr>
          <w:rFonts w:cs="Times New Roman" w:ascii="Times New Roman" w:hAnsi="Times New Roman"/>
          <w:sz w:val="26"/>
          <w:u w:val="single"/>
        </w:rPr>
        <w:t>The Commission orders</w:t>
      </w:r>
      <w:r>
        <w:rPr>
          <w:rFonts w:cs="Times New Roman" w:ascii="Times New Roman" w:hAnsi="Times New Roman"/>
          <w:sz w:val="26"/>
        </w:rPr>
        <w:t>:</w:t>
      </w:r>
    </w:p>
    <w:p>
      <w:pPr>
        <w:pStyle w:val="Normal"/>
        <w:widowControl/>
        <w:ind w:end="-180"/>
        <w:rPr>
          <w:rFonts w:ascii="Times New Roman" w:hAnsi="Times New Roman" w:cs="Times New Roman"/>
          <w:sz w:val="26"/>
        </w:rPr>
      </w:pPr>
      <w:r>
        <w:rPr>
          <w:rFonts w:cs="Times New Roman" w:ascii="Times New Roman" w:hAnsi="Times New Roman"/>
          <w:sz w:val="26"/>
        </w:rPr>
      </w:r>
    </w:p>
    <w:p>
      <w:pPr>
        <w:pStyle w:val="Normal"/>
        <w:widowControl/>
        <w:ind w:firstLine="720" w:end="-180"/>
        <w:rPr>
          <w:rFonts w:ascii="Times New Roman" w:hAnsi="Times New Roman" w:cs="Times New Roman"/>
          <w:sz w:val="26"/>
        </w:rPr>
      </w:pPr>
      <w:r>
        <w:rPr>
          <w:rFonts w:cs="Times New Roman" w:ascii="Times New Roman" w:hAnsi="Times New Roman"/>
          <w:sz w:val="26"/>
        </w:rPr>
        <w:t>(A) The tariff sheets listed in Appendix A are accepted and suspended to be effective August 16, 2001, subject to refund and the conditions described in the body of this order.</w:t>
      </w:r>
    </w:p>
    <w:p>
      <w:pPr>
        <w:pStyle w:val="Normal"/>
        <w:widowControl/>
        <w:ind w:end="-180"/>
        <w:rPr>
          <w:rFonts w:ascii="Times New Roman" w:hAnsi="Times New Roman" w:cs="Times New Roman"/>
          <w:sz w:val="26"/>
        </w:rPr>
      </w:pPr>
      <w:r>
        <w:rPr>
          <w:rFonts w:cs="Times New Roman" w:ascii="Times New Roman" w:hAnsi="Times New Roman"/>
          <w:sz w:val="26"/>
        </w:rPr>
      </w:r>
    </w:p>
    <w:p>
      <w:pPr>
        <w:pStyle w:val="Normal"/>
        <w:widowControl/>
        <w:ind w:firstLine="720" w:end="-180"/>
        <w:rPr>
          <w:rFonts w:ascii="Times New Roman" w:hAnsi="Times New Roman" w:cs="Times New Roman"/>
          <w:sz w:val="26"/>
        </w:rPr>
      </w:pPr>
      <w:r>
        <w:rPr>
          <w:rFonts w:cs="Times New Roman" w:ascii="Times New Roman" w:hAnsi="Times New Roman"/>
          <w:sz w:val="26"/>
        </w:rPr>
        <w:t>(B) The tariff sheets filed in Docket No. RP01-214-000 are withdrawn.</w:t>
      </w:r>
    </w:p>
    <w:p>
      <w:pPr>
        <w:pStyle w:val="Normal"/>
        <w:widowControl/>
        <w:ind w:end="-180"/>
        <w:rPr>
          <w:rFonts w:ascii="Times New Roman" w:hAnsi="Times New Roman" w:cs="Times New Roman"/>
          <w:sz w:val="26"/>
        </w:rPr>
      </w:pPr>
      <w:r>
        <w:rPr>
          <w:rFonts w:cs="Times New Roman" w:ascii="Times New Roman" w:hAnsi="Times New Roman"/>
          <w:sz w:val="26"/>
        </w:rPr>
      </w:r>
    </w:p>
    <w:p>
      <w:pPr>
        <w:pStyle w:val="Normal"/>
        <w:widowControl/>
        <w:ind w:firstLine="720" w:end="-180"/>
        <w:rPr>
          <w:rFonts w:ascii="Times New Roman" w:hAnsi="Times New Roman" w:cs="Times New Roman"/>
          <w:sz w:val="26"/>
        </w:rPr>
      </w:pPr>
      <w:r>
        <w:rPr>
          <w:rFonts w:cs="Times New Roman" w:ascii="Times New Roman" w:hAnsi="Times New Roman"/>
          <w:sz w:val="26"/>
        </w:rPr>
        <w:t>(C) Northwest must respond to the questions in the body of this order and in Appendix B within 30 days of the date of this order.</w:t>
      </w:r>
    </w:p>
    <w:p>
      <w:pPr>
        <w:pStyle w:val="Normal"/>
        <w:widowControl/>
        <w:ind w:end="-180"/>
        <w:rPr>
          <w:rFonts w:ascii="Times New Roman" w:hAnsi="Times New Roman" w:cs="Times New Roman"/>
          <w:sz w:val="26"/>
        </w:rPr>
      </w:pPr>
      <w:r>
        <w:rPr>
          <w:rFonts w:cs="Times New Roman" w:ascii="Times New Roman" w:hAnsi="Times New Roman"/>
          <w:sz w:val="26"/>
        </w:rPr>
      </w:r>
    </w:p>
    <w:p>
      <w:pPr>
        <w:pStyle w:val="Normal"/>
        <w:widowControl/>
        <w:ind w:end="-180"/>
        <w:rPr>
          <w:rFonts w:ascii="Times New Roman" w:hAnsi="Times New Roman" w:cs="Times New Roman"/>
          <w:sz w:val="26"/>
        </w:rPr>
      </w:pPr>
      <w:r>
        <w:rPr>
          <w:rFonts w:cs="Times New Roman" w:ascii="Times New Roman" w:hAnsi="Times New Roman"/>
          <w:sz w:val="26"/>
        </w:rPr>
        <w:t>By the Commission.</w:t>
      </w:r>
    </w:p>
    <w:p>
      <w:pPr>
        <w:pStyle w:val="Normal"/>
        <w:widowControl/>
        <w:ind w:end="-180"/>
        <w:rPr>
          <w:rFonts w:ascii="Times New Roman" w:hAnsi="Times New Roman" w:cs="Times New Roman"/>
          <w:sz w:val="26"/>
        </w:rPr>
      </w:pPr>
      <w:r>
        <w:rPr>
          <w:rFonts w:cs="Times New Roman" w:ascii="Times New Roman" w:hAnsi="Times New Roman"/>
          <w:sz w:val="26"/>
        </w:rPr>
      </w:r>
    </w:p>
    <w:p>
      <w:pPr>
        <w:pStyle w:val="Normal"/>
        <w:widowControl/>
        <w:ind w:end="-180"/>
        <w:rPr>
          <w:rFonts w:ascii="Times New Roman" w:hAnsi="Times New Roman" w:cs="Times New Roman"/>
          <w:sz w:val="26"/>
        </w:rPr>
      </w:pPr>
      <w:r>
        <w:rPr>
          <w:rFonts w:cs="Times New Roman" w:ascii="Times New Roman" w:hAnsi="Times New Roman"/>
          <w:sz w:val="26"/>
        </w:rPr>
        <w:t>( S E A L )</w:t>
      </w:r>
    </w:p>
    <w:p>
      <w:pPr>
        <w:pStyle w:val="Normal"/>
        <w:widowControl/>
        <w:ind w:end="-180"/>
        <w:rPr>
          <w:rFonts w:ascii="Times New Roman" w:hAnsi="Times New Roman" w:cs="Times New Roman"/>
          <w:sz w:val="26"/>
        </w:rPr>
      </w:pPr>
      <w:r>
        <w:rPr>
          <w:rFonts w:cs="Times New Roman" w:ascii="Times New Roman" w:hAnsi="Times New Roman"/>
          <w:sz w:val="26"/>
        </w:rPr>
      </w:r>
    </w:p>
    <w:p>
      <w:pPr>
        <w:pStyle w:val="Normal"/>
        <w:widowControl/>
        <w:ind w:end="-180"/>
        <w:rPr>
          <w:rFonts w:ascii="Times New Roman" w:hAnsi="Times New Roman" w:cs="Times New Roman"/>
          <w:sz w:val="26"/>
        </w:rPr>
      </w:pPr>
      <w:r>
        <w:rPr>
          <w:rFonts w:cs="Times New Roman" w:ascii="Times New Roman" w:hAnsi="Times New Roman"/>
          <w:sz w:val="26"/>
        </w:rPr>
      </w:r>
    </w:p>
    <w:p>
      <w:pPr>
        <w:pStyle w:val="Normal"/>
        <w:widowControl/>
        <w:ind w:end="-18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1440" w:leader="none"/>
        </w:tabs>
        <w:ind w:hanging="5040" w:start="5040" w:end="-180"/>
        <w:rPr>
          <w:rFonts w:ascii="Times New Roman" w:hAnsi="Times New Roman" w:cs="Times New Roman"/>
          <w:sz w:val="26"/>
        </w:rPr>
      </w:pPr>
      <w:r>
        <w:rPr>
          <w:rFonts w:cs="Times New Roman" w:ascii="Times New Roman" w:hAnsi="Times New Roman"/>
          <w:sz w:val="26"/>
        </w:rPr>
        <w:t xml:space="preserve">                                  </w:t>
      </w:r>
      <w:r>
        <w:rPr>
          <w:rFonts w:cs="Times New Roman" w:ascii="Times New Roman" w:hAnsi="Times New Roman"/>
          <w:sz w:val="26"/>
        </w:rPr>
        <w:tab/>
        <w:tab/>
        <w:tab/>
        <w:tab/>
        <w:t xml:space="preserve">    Linwood A. Watson, Jr.,</w:t>
      </w:r>
    </w:p>
    <w:p>
      <w:pPr>
        <w:pStyle w:val="Normal"/>
        <w:widowControl/>
        <w:tabs>
          <w:tab w:val="clear" w:pos="720"/>
          <w:tab w:val="left" w:pos="-1440" w:leader="none"/>
        </w:tabs>
        <w:ind w:hanging="5040" w:start="5040" w:end="-180"/>
        <w:rPr>
          <w:rFonts w:ascii="Times New Roman" w:hAnsi="Times New Roman" w:cs="Times New Roman"/>
          <w:sz w:val="26"/>
        </w:rPr>
      </w:pPr>
      <w:r>
        <w:rPr>
          <w:rFonts w:cs="Times New Roman" w:ascii="Times New Roman" w:hAnsi="Times New Roman"/>
          <w:sz w:val="26"/>
        </w:rPr>
        <w:t xml:space="preserve">                                         </w:t>
      </w:r>
      <w:r>
        <w:rPr>
          <w:rFonts w:cs="Times New Roman" w:ascii="Times New Roman" w:hAnsi="Times New Roman"/>
          <w:sz w:val="26"/>
        </w:rPr>
        <w:tab/>
        <w:tab/>
        <w:tab/>
        <w:tab/>
        <w:t xml:space="preserve">         Acting Secretary.</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jc w:val="center"/>
        <w:rPr>
          <w:rFonts w:ascii="Times New Roman" w:hAnsi="Times New Roman" w:cs="Times New Roman"/>
          <w:sz w:val="26"/>
        </w:rPr>
      </w:pPr>
      <w:r>
        <w:rPr>
          <w:rFonts w:cs="Times New Roman" w:ascii="Times New Roman" w:hAnsi="Times New Roman"/>
          <w:sz w:val="26"/>
        </w:rPr>
        <w:t xml:space="preserve">Northwest Pipeline Corporation </w:t>
      </w:r>
    </w:p>
    <w:p>
      <w:pPr>
        <w:pStyle w:val="Normal"/>
        <w:widowControl/>
        <w:jc w:val="center"/>
        <w:rPr>
          <w:rFonts w:ascii="Times New Roman" w:hAnsi="Times New Roman" w:cs="Times New Roman"/>
          <w:sz w:val="26"/>
        </w:rPr>
      </w:pPr>
      <w:r>
        <w:rPr>
          <w:rFonts w:cs="Times New Roman" w:ascii="Times New Roman" w:hAnsi="Times New Roman"/>
          <w:sz w:val="26"/>
        </w:rPr>
        <w:t>Docket No. RP01-232-000</w:t>
      </w:r>
    </w:p>
    <w:p>
      <w:pPr>
        <w:pStyle w:val="Normal"/>
        <w:widowControl/>
        <w:jc w:val="center"/>
        <w:rPr>
          <w:rFonts w:ascii="Times New Roman" w:hAnsi="Times New Roman" w:cs="Times New Roman"/>
          <w:sz w:val="26"/>
        </w:rPr>
      </w:pPr>
      <w:r>
        <w:rPr>
          <w:rFonts w:cs="Times New Roman" w:ascii="Times New Roman" w:hAnsi="Times New Roman"/>
          <w:b/>
          <w:sz w:val="26"/>
        </w:rPr>
        <w:t>APPENDIX A</w:t>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rPr>
          <w:rFonts w:ascii="Times New Roman" w:hAnsi="Times New Roman" w:cs="Times New Roman"/>
          <w:sz w:val="26"/>
        </w:rPr>
      </w:pPr>
      <w:r>
        <w:rPr>
          <w:rFonts w:cs="Times New Roman" w:ascii="Times New Roman" w:hAnsi="Times New Roman"/>
          <w:sz w:val="26"/>
        </w:rPr>
        <w:t>Second Revised Sheet No. 16</w:t>
      </w:r>
    </w:p>
    <w:p>
      <w:pPr>
        <w:pStyle w:val="Normal"/>
        <w:widowControl/>
        <w:rPr>
          <w:rFonts w:ascii="Times New Roman" w:hAnsi="Times New Roman" w:cs="Times New Roman"/>
          <w:sz w:val="26"/>
        </w:rPr>
      </w:pPr>
      <w:r>
        <w:rPr>
          <w:rFonts w:cs="Times New Roman" w:ascii="Times New Roman" w:hAnsi="Times New Roman"/>
          <w:sz w:val="26"/>
        </w:rPr>
        <w:t>Fourth Revised Sheet No. 17</w:t>
      </w:r>
    </w:p>
    <w:p>
      <w:pPr>
        <w:pStyle w:val="Normal"/>
        <w:widowControl/>
        <w:rPr>
          <w:rFonts w:ascii="Times New Roman" w:hAnsi="Times New Roman" w:cs="Times New Roman"/>
          <w:sz w:val="26"/>
        </w:rPr>
      </w:pPr>
      <w:r>
        <w:rPr>
          <w:rFonts w:cs="Times New Roman" w:ascii="Times New Roman" w:hAnsi="Times New Roman"/>
          <w:sz w:val="26"/>
        </w:rPr>
        <w:t>Seventh Revised Sheet No. 18</w:t>
      </w:r>
    </w:p>
    <w:p>
      <w:pPr>
        <w:pStyle w:val="Normal"/>
        <w:widowControl/>
        <w:rPr>
          <w:rFonts w:ascii="Times New Roman" w:hAnsi="Times New Roman" w:cs="Times New Roman"/>
          <w:sz w:val="26"/>
        </w:rPr>
      </w:pPr>
      <w:r>
        <w:rPr>
          <w:rFonts w:cs="Times New Roman" w:ascii="Times New Roman" w:hAnsi="Times New Roman"/>
          <w:sz w:val="26"/>
        </w:rPr>
        <w:t>Second Revised Sheet No. 18-A</w:t>
      </w:r>
    </w:p>
    <w:p>
      <w:pPr>
        <w:pStyle w:val="Normal"/>
        <w:widowControl/>
        <w:rPr>
          <w:rFonts w:ascii="Times New Roman" w:hAnsi="Times New Roman" w:cs="Times New Roman"/>
          <w:sz w:val="26"/>
        </w:rPr>
      </w:pPr>
      <w:r>
        <w:rPr>
          <w:rFonts w:cs="Times New Roman" w:ascii="Times New Roman" w:hAnsi="Times New Roman"/>
          <w:sz w:val="26"/>
        </w:rPr>
        <w:t>First Revised Sheet No. 30</w:t>
      </w:r>
    </w:p>
    <w:p>
      <w:pPr>
        <w:pStyle w:val="Normal"/>
        <w:widowControl/>
        <w:rPr>
          <w:rFonts w:ascii="Times New Roman" w:hAnsi="Times New Roman" w:cs="Times New Roman"/>
          <w:sz w:val="26"/>
        </w:rPr>
      </w:pPr>
      <w:r>
        <w:rPr>
          <w:rFonts w:cs="Times New Roman" w:ascii="Times New Roman" w:hAnsi="Times New Roman"/>
          <w:sz w:val="26"/>
        </w:rPr>
        <w:t>Second Revised Sheet No. 100</w:t>
      </w:r>
    </w:p>
    <w:p>
      <w:pPr>
        <w:pStyle w:val="Normal"/>
        <w:widowControl/>
        <w:rPr>
          <w:rFonts w:ascii="Times New Roman" w:hAnsi="Times New Roman" w:cs="Times New Roman"/>
          <w:sz w:val="26"/>
        </w:rPr>
      </w:pPr>
      <w:r>
        <w:rPr>
          <w:rFonts w:cs="Times New Roman" w:ascii="Times New Roman" w:hAnsi="Times New Roman"/>
          <w:sz w:val="26"/>
        </w:rPr>
        <w:t>Original Sheet No. 100-A</w:t>
      </w:r>
    </w:p>
    <w:p>
      <w:pPr>
        <w:pStyle w:val="Normal"/>
        <w:widowControl/>
        <w:rPr>
          <w:rFonts w:ascii="Times New Roman" w:hAnsi="Times New Roman" w:cs="Times New Roman"/>
          <w:sz w:val="26"/>
        </w:rPr>
      </w:pPr>
      <w:r>
        <w:rPr>
          <w:rFonts w:cs="Times New Roman" w:ascii="Times New Roman" w:hAnsi="Times New Roman"/>
          <w:sz w:val="26"/>
        </w:rPr>
        <w:t>Third Revised Sheet No. 254</w:t>
      </w:r>
    </w:p>
    <w:p>
      <w:pPr>
        <w:pStyle w:val="Normal"/>
        <w:widowControl/>
        <w:rPr>
          <w:rFonts w:ascii="Times New Roman" w:hAnsi="Times New Roman" w:cs="Times New Roman"/>
          <w:sz w:val="26"/>
        </w:rPr>
      </w:pPr>
      <w:r>
        <w:rPr>
          <w:rFonts w:cs="Times New Roman" w:ascii="Times New Roman" w:hAnsi="Times New Roman"/>
          <w:sz w:val="26"/>
        </w:rPr>
        <w:t>Fourth Revised Sheet No. 255</w:t>
      </w:r>
    </w:p>
    <w:p>
      <w:pPr>
        <w:sectPr>
          <w:headerReference w:type="default" r:id="rId2"/>
          <w:footnotePr>
            <w:numFmt w:val="decimal"/>
          </w:footnotePr>
          <w:type w:val="nextPage"/>
          <w:pgSz w:w="12240" w:h="15840"/>
          <w:pgMar w:left="1440" w:right="1260" w:gutter="0" w:header="1440" w:top="1496" w:footer="0" w:bottom="1440"/>
          <w:pgNumType w:fmt="decimal"/>
          <w:formProt w:val="false"/>
          <w:textDirection w:val="lrTb"/>
          <w:docGrid w:type="default" w:linePitch="360" w:charSpace="0"/>
        </w:sectPr>
        <w:pStyle w:val="Normal"/>
        <w:widowControl/>
        <w:rPr>
          <w:rFonts w:ascii="Times New Roman" w:hAnsi="Times New Roman" w:cs="Times New Roman"/>
          <w:sz w:val="26"/>
        </w:rPr>
      </w:pPr>
      <w:r>
        <w:rPr>
          <w:rFonts w:cs="Times New Roman" w:ascii="Times New Roman" w:hAnsi="Times New Roman"/>
          <w:sz w:val="26"/>
        </w:rPr>
        <w:t>Fourth Revised Sheet No. 256</w:t>
      </w:r>
    </w:p>
    <w:p>
      <w:pPr>
        <w:pStyle w:val="Normal"/>
        <w:widowControl/>
        <w:jc w:val="center"/>
        <w:rPr>
          <w:rFonts w:ascii="Times New Roman" w:hAnsi="Times New Roman" w:cs="Times New Roman"/>
          <w:sz w:val="26"/>
        </w:rPr>
      </w:pPr>
      <w:r>
        <w:rPr>
          <w:rFonts w:cs="Times New Roman" w:ascii="Times New Roman" w:hAnsi="Times New Roman"/>
          <w:sz w:val="26"/>
        </w:rPr>
        <w:t xml:space="preserve">Northwest Pipeline Corporation </w:t>
      </w:r>
    </w:p>
    <w:p>
      <w:pPr>
        <w:pStyle w:val="Normal"/>
        <w:widowControl/>
        <w:jc w:val="center"/>
        <w:rPr>
          <w:rFonts w:ascii="Times New Roman" w:hAnsi="Times New Roman" w:cs="Times New Roman"/>
          <w:sz w:val="26"/>
        </w:rPr>
      </w:pPr>
      <w:r>
        <w:rPr>
          <w:rFonts w:cs="Times New Roman" w:ascii="Times New Roman" w:hAnsi="Times New Roman"/>
          <w:sz w:val="26"/>
        </w:rPr>
        <w:t>Docket No. RP01-232-000</w:t>
      </w:r>
    </w:p>
    <w:p>
      <w:pPr>
        <w:pStyle w:val="Normal"/>
        <w:widowControl/>
        <w:jc w:val="center"/>
        <w:rPr>
          <w:rFonts w:ascii="Times New Roman" w:hAnsi="Times New Roman" w:cs="Times New Roman"/>
          <w:sz w:val="26"/>
        </w:rPr>
      </w:pPr>
      <w:r>
        <w:rPr>
          <w:rFonts w:cs="Times New Roman" w:ascii="Times New Roman" w:hAnsi="Times New Roman"/>
          <w:b/>
          <w:sz w:val="26"/>
        </w:rPr>
        <w:t>APPENDIX B</w:t>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ind w:firstLine="720" w:end="0"/>
        <w:rPr>
          <w:rFonts w:ascii="Times New Roman" w:hAnsi="Times New Roman" w:cs="Times New Roman"/>
          <w:sz w:val="26"/>
        </w:rPr>
      </w:pPr>
      <w:r>
        <w:rPr>
          <w:rFonts w:cs="Times New Roman" w:ascii="Times New Roman" w:hAnsi="Times New Roman"/>
          <w:sz w:val="26"/>
        </w:rPr>
        <w:t xml:space="preserve">With respect to the proposal to remove the lump sum payment option leaving only the surcharge reimbursement option, please respond to the following: </w:t>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1440" w:leader="none"/>
        </w:tabs>
        <w:ind w:hanging="720" w:start="720" w:end="0"/>
        <w:rPr>
          <w:rFonts w:ascii="Times New Roman" w:hAnsi="Times New Roman" w:cs="Times New Roman"/>
          <w:sz w:val="26"/>
        </w:rPr>
      </w:pPr>
      <w:r>
        <w:rPr>
          <w:rFonts w:cs="Times New Roman" w:ascii="Times New Roman" w:hAnsi="Times New Roman"/>
          <w:sz w:val="26"/>
        </w:rPr>
        <w:t>1.</w:t>
        <w:tab/>
        <w:t xml:space="preserve">In light of the statement that "to incent Northwest to construct the lateral, [the shippers] agreed to certain reimbursement obligations that were different from the reimbursement options contained in Northwest's tariff," explain in detail why the lump sum payment method does not provide sufficient reimbursement to Northwest?  </w:t>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1440" w:leader="none"/>
        </w:tabs>
        <w:ind w:hanging="720" w:start="720" w:end="0"/>
        <w:rPr>
          <w:rFonts w:ascii="Times New Roman" w:hAnsi="Times New Roman" w:cs="Times New Roman"/>
          <w:sz w:val="26"/>
        </w:rPr>
      </w:pPr>
      <w:r>
        <w:rPr>
          <w:rFonts w:cs="Times New Roman" w:ascii="Times New Roman" w:hAnsi="Times New Roman"/>
          <w:sz w:val="26"/>
        </w:rPr>
        <w:t>2.</w:t>
        <w:tab/>
        <w:t xml:space="preserve">Explain why it is reasonable for shippers to be required to finance a lateral through the pipeline when the shipper is willing to pay for the project up-front.  </w:t>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1440" w:leader="none"/>
        </w:tabs>
        <w:ind w:hanging="1440" w:start="1440" w:end="0"/>
        <w:rPr>
          <w:rFonts w:ascii="Times New Roman" w:hAnsi="Times New Roman" w:cs="Times New Roman"/>
          <w:sz w:val="26"/>
        </w:rPr>
      </w:pPr>
      <w:r>
        <w:rPr>
          <w:rFonts w:cs="Times New Roman" w:ascii="Times New Roman" w:hAnsi="Times New Roman"/>
          <w:sz w:val="26"/>
        </w:rPr>
        <w:t>3.</w:t>
        <w:tab/>
        <w:t>(a)</w:t>
        <w:tab/>
        <w:t xml:space="preserve">Section 21.2(a) of Northwest's currently effective tariff states that "Transporter will construct, own, operate and maintain all receipt and delivery facilities unless otherwise agreed to in writing by Transporter and Shipper."  </w:t>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ind w:start="1440" w:end="0"/>
        <w:rPr>
          <w:rFonts w:ascii="Times New Roman" w:hAnsi="Times New Roman" w:cs="Times New Roman"/>
          <w:sz w:val="26"/>
        </w:rPr>
      </w:pPr>
      <w:r>
        <w:rPr>
          <w:rFonts w:cs="Times New Roman" w:ascii="Times New Roman" w:hAnsi="Times New Roman"/>
          <w:sz w:val="26"/>
        </w:rPr>
        <w:t xml:space="preserve">(i.) Under what circumstances would Northwest not agree to allow the shipper to construct?  Has Northwest ever denied a shipper the right to connect to its facilities if the shipper constructed the receipt and delivery facilities?  </w:t>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ind w:start="1440" w:end="0"/>
        <w:rPr>
          <w:rFonts w:ascii="Times New Roman" w:hAnsi="Times New Roman" w:cs="Times New Roman"/>
          <w:sz w:val="26"/>
        </w:rPr>
      </w:pPr>
      <w:r>
        <w:rPr>
          <w:rFonts w:cs="Times New Roman" w:ascii="Times New Roman" w:hAnsi="Times New Roman"/>
          <w:sz w:val="26"/>
        </w:rPr>
        <w:t>(ii.) Please clarify whether the quoted language in section 21.2(a) above grants the same rights as the proposed language in Northwest's Rate Schedules, TF-1 and TI-1, that "shipper is not precluded from constructing and operating its own lateral."  If no, please explain the differences.</w:t>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1440" w:leader="none"/>
        </w:tabs>
        <w:ind w:hanging="720" w:start="720" w:end="0"/>
        <w:rPr>
          <w:rFonts w:ascii="Times New Roman" w:hAnsi="Times New Roman" w:cs="Times New Roman"/>
          <w:sz w:val="26"/>
        </w:rPr>
      </w:pPr>
      <w:r>
        <w:rPr>
          <w:rFonts w:cs="Times New Roman" w:ascii="Times New Roman" w:hAnsi="Times New Roman"/>
          <w:sz w:val="26"/>
        </w:rPr>
        <w:t>4.</w:t>
        <w:tab/>
        <w:t>Under the existing lump sum payment option, surcharge option, and shipper's own construction, when does title to the facility pass to the shipper?  Does Northwest seek abandonment when title passes?</w:t>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1440" w:leader="none"/>
        </w:tabs>
        <w:ind w:hanging="720" w:start="720" w:end="0"/>
        <w:rPr>
          <w:rFonts w:ascii="Times New Roman" w:hAnsi="Times New Roman" w:cs="Times New Roman"/>
          <w:sz w:val="26"/>
        </w:rPr>
      </w:pPr>
      <w:r>
        <w:rPr>
          <w:rFonts w:cs="Times New Roman" w:ascii="Times New Roman" w:hAnsi="Times New Roman"/>
          <w:sz w:val="26"/>
        </w:rPr>
        <w:t>5.</w:t>
        <w:tab/>
        <w:t xml:space="preserve">Under the lump sum option and the facilities surcharge options: </w:t>
      </w:r>
    </w:p>
    <w:p>
      <w:pPr>
        <w:pStyle w:val="Normal"/>
        <w:widowControl/>
        <w:ind w:firstLine="720" w:end="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1440" w:leader="none"/>
        </w:tabs>
        <w:ind w:hanging="720" w:start="1440" w:end="0"/>
        <w:rPr>
          <w:rFonts w:ascii="Times New Roman" w:hAnsi="Times New Roman" w:cs="Times New Roman"/>
          <w:sz w:val="26"/>
        </w:rPr>
      </w:pPr>
      <w:r>
        <w:rPr>
          <w:rFonts w:cs="Times New Roman" w:ascii="Times New Roman" w:hAnsi="Times New Roman"/>
          <w:sz w:val="26"/>
        </w:rPr>
        <w:t>(a)</w:t>
        <w:tab/>
        <w:t>Describe in detail (including accounts used by Uniform System of Accounts Number)  how the revenues, expenses (operation &amp; maintenance), income taxes, depreciation and facility costs are accounted for during the respective contract periods.  Illustrate the options with an example.</w:t>
      </w:r>
    </w:p>
    <w:p>
      <w:pPr>
        <w:pStyle w:val="Normal"/>
        <w:widowControl/>
        <w:rPr>
          <w:rFonts w:ascii="Times New Roman" w:hAnsi="Times New Roman" w:cs="Times New Roman"/>
          <w:sz w:val="26"/>
        </w:rPr>
      </w:pPr>
      <w:r>
        <w:rPr>
          <w:rFonts w:cs="Times New Roman" w:ascii="Times New Roman" w:hAnsi="Times New Roman"/>
          <w:sz w:val="26"/>
        </w:rPr>
      </w:r>
    </w:p>
    <w:p>
      <w:pPr>
        <w:sectPr>
          <w:headerReference w:type="default" r:id="rId3"/>
          <w:headerReference w:type="first" r:id="rId4"/>
          <w:footnotePr>
            <w:numFmt w:val="decimal"/>
          </w:footnotePr>
          <w:type w:val="nextPage"/>
          <w:pgSz w:w="12240" w:h="15840"/>
          <w:pgMar w:left="1440" w:right="1260" w:gutter="0" w:header="1440" w:top="1496" w:footer="0" w:bottom="1440"/>
          <w:pgNumType w:fmt="decimal"/>
          <w:formProt w:val="false"/>
          <w:textDirection w:val="lrTb"/>
          <w:docGrid w:type="default" w:linePitch="360" w:charSpace="0"/>
        </w:sectPr>
      </w:pPr>
    </w:p>
    <w:p>
      <w:pPr>
        <w:pStyle w:val="Normal"/>
        <w:widowControl/>
        <w:tabs>
          <w:tab w:val="clear" w:pos="720"/>
          <w:tab w:val="left" w:pos="-1440" w:leader="none"/>
        </w:tabs>
        <w:ind w:hanging="720" w:start="1440" w:end="0"/>
        <w:rPr>
          <w:rFonts w:ascii="Times New Roman" w:hAnsi="Times New Roman" w:cs="Times New Roman"/>
          <w:sz w:val="26"/>
        </w:rPr>
      </w:pPr>
      <w:r>
        <w:rPr>
          <w:rFonts w:cs="Times New Roman" w:ascii="Times New Roman" w:hAnsi="Times New Roman"/>
          <w:sz w:val="26"/>
        </w:rPr>
        <w:t>(b)</w:t>
        <w:tab/>
        <w:t>Describe in detail and provide an example how Northwest computes the AFUDC rate it capitalizes during the construction of a lateral facility.  Would the components of the AFUDC rate vary depending on the reimbursement method?  If so, describe in detail and provide an example specifying varying factors that impact the AFUDC rate?</w:t>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1440" w:leader="none"/>
        </w:tabs>
        <w:ind w:hanging="720" w:start="1440" w:end="0"/>
        <w:rPr>
          <w:rFonts w:ascii="Times New Roman" w:hAnsi="Times New Roman" w:cs="Times New Roman"/>
          <w:sz w:val="26"/>
        </w:rPr>
      </w:pPr>
      <w:r>
        <w:rPr>
          <w:rFonts w:cs="Times New Roman" w:ascii="Times New Roman" w:hAnsi="Times New Roman"/>
          <w:sz w:val="26"/>
        </w:rPr>
        <w:t>(c)</w:t>
        <w:tab/>
        <w:t>If the discount rate used to calculate the surcharge is the same as the rate underlying your current transportation and storage rates, why is that rate appropriate given that the shipper is obligated to pay for the lateral in full, with little risk to Northwest?</w:t>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1440" w:leader="none"/>
        </w:tabs>
        <w:ind w:hanging="720" w:start="720" w:end="0"/>
        <w:rPr>
          <w:rFonts w:ascii="Times New Roman" w:hAnsi="Times New Roman" w:cs="Times New Roman"/>
          <w:sz w:val="26"/>
        </w:rPr>
      </w:pPr>
      <w:r>
        <w:rPr>
          <w:rFonts w:cs="Times New Roman" w:ascii="Times New Roman" w:hAnsi="Times New Roman"/>
          <w:sz w:val="26"/>
        </w:rPr>
        <w:t>6.</w:t>
        <w:tab/>
        <w:t>Is the method and lives for accounting depreciation consistent with the method and lives used in each of the facilities surcharge options?  If not, identify the option that differs and describe in detail how the differences between book depreciation and rate depreciation are accounted for.</w:t>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1440" w:leader="none"/>
        </w:tabs>
        <w:ind w:hanging="1440" w:start="1440" w:end="0"/>
        <w:rPr>
          <w:rFonts w:ascii="Times New Roman" w:hAnsi="Times New Roman" w:cs="Times New Roman"/>
          <w:sz w:val="26"/>
        </w:rPr>
      </w:pPr>
      <w:r>
        <w:rPr>
          <w:rFonts w:cs="Times New Roman" w:ascii="Times New Roman" w:hAnsi="Times New Roman"/>
          <w:sz w:val="26"/>
        </w:rPr>
        <w:t>7.</w:t>
        <w:tab/>
        <w:t>(a)</w:t>
        <w:tab/>
        <w:t xml:space="preserve"> Describe in detail how Northwest calculates the shipper's monthly payment, including how it derives each component of the cost of service and how it applies each of the optional rate design methodologies listed in currently effective Section 21.3(b).  Provide specific numerical examples and set forth all formulas used.</w:t>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1440" w:leader="none"/>
        </w:tabs>
        <w:ind w:hanging="720" w:start="1440" w:end="0"/>
        <w:rPr>
          <w:rFonts w:ascii="Times New Roman" w:hAnsi="Times New Roman" w:cs="Times New Roman"/>
          <w:sz w:val="26"/>
        </w:rPr>
      </w:pPr>
      <w:r>
        <w:rPr>
          <w:rFonts w:cs="Times New Roman" w:ascii="Times New Roman" w:hAnsi="Times New Roman"/>
          <w:sz w:val="26"/>
        </w:rPr>
        <w:t>(b)</w:t>
        <w:tab/>
        <w:t>Regarding your answer to question 7(a), describe how Northwest chooses a discount rate to calculate the return component of the cost of service when calculating the shipper's monthly payments.</w:t>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ind w:firstLine="720" w:end="0"/>
        <w:rPr>
          <w:rFonts w:ascii="Times New Roman" w:hAnsi="Times New Roman" w:cs="Times New Roman"/>
          <w:sz w:val="26"/>
        </w:rPr>
      </w:pPr>
      <w:r>
        <w:rPr>
          <w:rFonts w:cs="Times New Roman" w:ascii="Times New Roman" w:hAnsi="Times New Roman"/>
          <w:sz w:val="26"/>
        </w:rPr>
        <w:t>With respect to the proposed early termination process, please respond to the following, including in your answer both a narrative explanation and all applicable formulas:</w:t>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1440" w:leader="none"/>
        </w:tabs>
        <w:ind w:hanging="720" w:start="720" w:end="0"/>
        <w:rPr>
          <w:rFonts w:ascii="Times New Roman" w:hAnsi="Times New Roman" w:cs="Times New Roman"/>
          <w:sz w:val="26"/>
        </w:rPr>
      </w:pPr>
      <w:r>
        <w:rPr>
          <w:rFonts w:cs="Times New Roman" w:ascii="Times New Roman" w:hAnsi="Times New Roman"/>
          <w:sz w:val="26"/>
        </w:rPr>
        <w:t>1.</w:t>
        <w:tab/>
        <w:t xml:space="preserve">Describe in detail how the net present value calculation is performed, and in particular, how the DCF analysis is used in such calculation.  In your answer, provide numerical examples.   </w:t>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1440" w:leader="none"/>
        </w:tabs>
        <w:ind w:hanging="720" w:start="720" w:end="0"/>
        <w:rPr>
          <w:rFonts w:ascii="Times New Roman" w:hAnsi="Times New Roman" w:cs="Times New Roman"/>
          <w:sz w:val="26"/>
        </w:rPr>
      </w:pPr>
      <w:r>
        <w:rPr>
          <w:rFonts w:cs="Times New Roman" w:ascii="Times New Roman" w:hAnsi="Times New Roman"/>
          <w:sz w:val="26"/>
        </w:rPr>
        <w:t>2.</w:t>
        <w:tab/>
        <w:t>Describe in detail your method for determining what discount rates will be used in the net present value calculation.</w:t>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1440" w:leader="none"/>
        </w:tabs>
        <w:ind w:hanging="720" w:start="720" w:end="0"/>
        <w:rPr>
          <w:rFonts w:ascii="Times New Roman" w:hAnsi="Times New Roman" w:cs="Times New Roman"/>
          <w:sz w:val="26"/>
        </w:rPr>
      </w:pPr>
      <w:r>
        <w:rPr>
          <w:rFonts w:cs="Times New Roman" w:ascii="Times New Roman" w:hAnsi="Times New Roman"/>
          <w:sz w:val="26"/>
        </w:rPr>
        <w:t>3.</w:t>
        <w:tab/>
        <w:t>Do the discount rates referred to in the previous question remain fixed during the life of the revenue stream?  If not, describe how and why they would change, using numerical examples.</w:t>
      </w:r>
    </w:p>
    <w:p>
      <w:pPr>
        <w:pStyle w:val="Normal"/>
        <w:widowControl/>
        <w:rPr>
          <w:rFonts w:ascii="Times New Roman" w:hAnsi="Times New Roman" w:cs="Times New Roman"/>
          <w:sz w:val="26"/>
        </w:rPr>
      </w:pPr>
      <w:r>
        <w:rPr>
          <w:rFonts w:cs="Times New Roman" w:ascii="Times New Roman" w:hAnsi="Times New Roman"/>
          <w:sz w:val="26"/>
        </w:rPr>
      </w:r>
    </w:p>
    <w:p>
      <w:pPr>
        <w:sectPr>
          <w:footnotePr>
            <w:numFmt w:val="decimal"/>
          </w:footnotePr>
          <w:type w:val="continuous"/>
          <w:pgSz w:w="12240" w:h="15840"/>
          <w:pgMar w:left="1440" w:right="1260" w:gutter="0" w:header="1440" w:top="1496" w:footer="0" w:bottom="1440"/>
          <w:formProt w:val="false"/>
          <w:textDirection w:val="lrTb"/>
          <w:docGrid w:type="default" w:linePitch="360" w:charSpace="0"/>
        </w:sectPr>
      </w:pPr>
    </w:p>
    <w:p>
      <w:pPr>
        <w:pStyle w:val="Normal"/>
        <w:widowControl/>
        <w:ind w:firstLine="720" w:end="0"/>
        <w:rPr>
          <w:rFonts w:ascii="Times New Roman" w:hAnsi="Times New Roman" w:cs="Times New Roman"/>
          <w:sz w:val="26"/>
        </w:rPr>
      </w:pPr>
      <w:r>
        <w:rPr>
          <w:rFonts w:cs="Times New Roman" w:ascii="Times New Roman" w:hAnsi="Times New Roman"/>
          <w:sz w:val="26"/>
        </w:rPr>
        <w:t>The following questions involve comparing the surcharge calculation to the net present value calculation.  In your answer, include a narrative explanation, numerical examples and all applicable formulas:</w:t>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1440" w:leader="none"/>
        </w:tabs>
        <w:ind w:hanging="720" w:start="720" w:end="0"/>
        <w:rPr>
          <w:rFonts w:ascii="Times New Roman" w:hAnsi="Times New Roman" w:cs="Times New Roman"/>
          <w:sz w:val="26"/>
        </w:rPr>
      </w:pPr>
      <w:r>
        <w:rPr>
          <w:rFonts w:cs="Times New Roman" w:ascii="Times New Roman" w:hAnsi="Times New Roman"/>
          <w:sz w:val="26"/>
        </w:rPr>
        <w:t>1.</w:t>
        <w:tab/>
        <w:t>How does the discount rate used in the DCF analysis for the purpose of calculating net present value at early termination compare with the rate used in the surcharge analysis?  To the extent they are different, please explain how and why?</w:t>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1440" w:leader="none"/>
        </w:tabs>
        <w:ind w:hanging="720" w:start="720" w:end="0"/>
        <w:rPr>
          <w:rFonts w:ascii="Times New Roman" w:hAnsi="Times New Roman" w:cs="Times New Roman"/>
          <w:sz w:val="26"/>
        </w:rPr>
      </w:pPr>
      <w:r>
        <w:rPr>
          <w:rFonts w:cs="Times New Roman" w:ascii="Times New Roman" w:hAnsi="Times New Roman"/>
          <w:sz w:val="26"/>
        </w:rPr>
        <w:t>2.</w:t>
        <w:tab/>
        <w:t>Does the net present value of the surcharge payments differ from the net book value of the facility at the point in time the lateral is placed in service or at any time during the remaining life of the surcharge period?  If so, how and why?  If not, please state why and show how.  Include in your answer a narrative comparison of both values, with numerical examples and formulas used.</w:t>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1440" w:leader="none"/>
        </w:tabs>
        <w:ind w:hanging="720" w:start="720" w:end="0"/>
        <w:rPr>
          <w:rFonts w:ascii="Times New Roman" w:hAnsi="Times New Roman" w:cs="Times New Roman"/>
          <w:sz w:val="26"/>
        </w:rPr>
      </w:pPr>
      <w:r>
        <w:rPr>
          <w:rFonts w:cs="Times New Roman" w:ascii="Times New Roman" w:hAnsi="Times New Roman"/>
          <w:sz w:val="26"/>
        </w:rPr>
        <w:t>3.</w:t>
        <w:tab/>
        <w:t xml:space="preserve">Provide a comparison of the early termination option as currently applied to the Olympia, Tumwater, and SUB projects and the results under the proposed  methodology. </w:t>
      </w:r>
    </w:p>
    <w:p>
      <w:pPr>
        <w:pStyle w:val="Normal"/>
        <w:widowControl/>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1440" w:leader="none"/>
        </w:tabs>
        <w:ind w:hanging="720" w:start="720" w:end="0"/>
        <w:rPr>
          <w:rFonts w:ascii="Times New Roman" w:hAnsi="Times New Roman" w:cs="Times New Roman"/>
          <w:sz w:val="26"/>
        </w:rPr>
      </w:pPr>
      <w:r>
        <w:rPr>
          <w:rFonts w:cs="Times New Roman" w:ascii="Times New Roman" w:hAnsi="Times New Roman"/>
          <w:sz w:val="26"/>
        </w:rPr>
        <w:t xml:space="preserve">4.  </w:t>
        <w:tab/>
        <w:t>Provide a narrative explanation and numerical example on how the NPV method for calculating an early termination would be applied to surcharge payments under each of the four methodologies contained in Section 21.3(b) of Northwest's GT&amp;C.</w:t>
      </w:r>
    </w:p>
    <w:sectPr>
      <w:footnotePr>
        <w:numFmt w:val="decimal"/>
      </w:footnotePr>
      <w:type w:val="continuous"/>
      <w:pgSz w:w="12240" w:h="15840"/>
      <w:pgMar w:left="1440" w:right="1260" w:gutter="0" w:header="1440" w:top="1496"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footnoteRef/>
      </w:r>
      <w:r>
        <w:rPr>
          <w:rFonts w:cs="Times New Roman" w:ascii="Times New Roman" w:hAnsi="Times New Roman"/>
          <w:sz w:val="26"/>
          <w:u w:val="single"/>
        </w:rPr>
        <w:t>See</w:t>
      </w:r>
      <w:r>
        <w:rPr>
          <w:rFonts w:cs="Times New Roman" w:ascii="Times New Roman" w:hAnsi="Times New Roman"/>
          <w:sz w:val="26"/>
        </w:rPr>
        <w:t xml:space="preserve"> Appendix A.</w:t>
      </w:r>
    </w:p>
  </w:footnote>
  <w:footnote w:id="3">
    <w:p>
      <w:pPr>
        <w:pStyle w:val="Normal"/>
        <w:ind w:firstLine="720" w:end="0"/>
        <w:rPr/>
      </w:pPr>
      <w:r>
        <w:rPr>
          <w:rStyle w:val="FootnoteCharacters"/>
        </w:rPr>
        <w:footnoteRef/>
      </w:r>
      <w:r>
        <w:rPr>
          <w:rFonts w:cs="Times New Roman" w:ascii="Times New Roman" w:hAnsi="Times New Roman"/>
          <w:sz w:val="26"/>
        </w:rPr>
        <w:t>Northwest's January 26 filing also contains proposed modifications to the tariff provisions related to facilities reimbursement procedures associated with the construction of laterals.</w:t>
      </w:r>
    </w:p>
    <w:p>
      <w:pPr>
        <w:pStyle w:val="Normal"/>
        <w:spacing w:before="0" w:after="240"/>
        <w:rPr>
          <w:rFonts w:ascii="Times New Roman" w:hAnsi="Times New Roman" w:cs="Times New Roman"/>
          <w:sz w:val="26"/>
        </w:rPr>
      </w:pPr>
      <w:r>
        <w:rPr>
          <w:rFonts w:cs="Times New Roman" w:ascii="Times New Roman" w:hAnsi="Times New Roman"/>
          <w:sz w:val="26"/>
        </w:rPr>
      </w:r>
    </w:p>
  </w:footnote>
  <w:footnote w:id="4">
    <w:p>
      <w:pPr>
        <w:pStyle w:val="Normal"/>
        <w:spacing w:before="0" w:after="240"/>
        <w:ind w:firstLine="720" w:end="0"/>
        <w:rPr/>
      </w:pPr>
      <w:r>
        <w:rPr>
          <w:rStyle w:val="FootnoteCharacters"/>
        </w:rPr>
        <w:footnoteRef/>
      </w:r>
      <w:r>
        <w:rPr>
          <w:rFonts w:cs="Times New Roman" w:ascii="Times New Roman" w:hAnsi="Times New Roman"/>
          <w:sz w:val="26"/>
        </w:rPr>
        <w:t>Application for a certificate of public convenience filed with the Commission on December 8, 2000, in Docket No. CP01-49-000, which is currently pending Commission action.</w:t>
      </w:r>
    </w:p>
  </w:footnote>
  <w:footnote w:id="5">
    <w:p>
      <w:pPr>
        <w:pStyle w:val="Normal"/>
        <w:spacing w:before="0" w:after="240"/>
        <w:ind w:firstLine="720" w:end="0"/>
        <w:rPr/>
      </w:pPr>
      <w:r>
        <w:rPr>
          <w:rStyle w:val="FootnoteCharacters"/>
        </w:rPr>
        <w:footnoteRef/>
      </w:r>
      <w:r>
        <w:rPr>
          <w:rFonts w:cs="Times New Roman" w:ascii="Times New Roman" w:hAnsi="Times New Roman"/>
          <w:sz w:val="26"/>
        </w:rPr>
        <w:t>Northwest Natural and Puget Protest at 5.</w:t>
      </w:r>
    </w:p>
  </w:footnote>
  <w:footnote w:id="6">
    <w:p>
      <w:pPr>
        <w:pStyle w:val="Normal"/>
        <w:spacing w:before="0" w:after="240"/>
        <w:ind w:firstLine="720" w:end="0"/>
        <w:rPr/>
      </w:pPr>
      <w:r>
        <w:rPr>
          <w:rStyle w:val="FootnoteCharacters"/>
        </w:rPr>
        <w:footnoteRef/>
      </w:r>
      <w:r>
        <w:rPr>
          <w:rFonts w:cs="Times New Roman" w:ascii="Times New Roman" w:hAnsi="Times New Roman"/>
          <w:sz w:val="26"/>
        </w:rPr>
        <w:t>Northwest Natural and Puget Protest at 4-5 (citing Northwest Pipeline Corporation, 78 FERC ¶ 61,189 at 61,806 (1997)).  The four rate methodology options are:  volumetric rates, monthly cost of service charges, levelized rate payments, or a combination of reservation and volumetric charges for determining its facilities surcharges.</w:t>
      </w:r>
    </w:p>
  </w:footnote>
  <w:footnote w:id="7">
    <w:p>
      <w:pPr>
        <w:pStyle w:val="Normal"/>
        <w:spacing w:before="0" w:after="240"/>
        <w:ind w:firstLine="720" w:end="0"/>
        <w:rPr/>
      </w:pPr>
      <w:r>
        <w:rPr>
          <w:rStyle w:val="FootnoteCharacters"/>
        </w:rPr>
        <w:footnoteRef/>
      </w:r>
      <w:r>
        <w:rPr>
          <w:rFonts w:cs="Times New Roman" w:ascii="Times New Roman" w:hAnsi="Times New Roman"/>
          <w:sz w:val="26"/>
        </w:rPr>
        <w:t>Northwest Natural and Puget Protest at 4.</w:t>
      </w:r>
    </w:p>
  </w:footnote>
  <w:footnote w:id="8">
    <w:p>
      <w:pPr>
        <w:pStyle w:val="Normal"/>
        <w:spacing w:before="0" w:after="240"/>
        <w:ind w:firstLine="720" w:end="0"/>
        <w:rPr/>
      </w:pPr>
      <w:r>
        <w:rPr>
          <w:rStyle w:val="FootnoteCharacters"/>
        </w:rPr>
        <w:footnoteRef/>
      </w:r>
      <w:r>
        <w:rPr>
          <w:rFonts w:cs="Times New Roman" w:ascii="Times New Roman" w:hAnsi="Times New Roman"/>
          <w:sz w:val="26"/>
        </w:rPr>
        <w:t>Northwest Natural and Puget Protest at 6.</w:t>
      </w:r>
    </w:p>
  </w:footnote>
  <w:footnote w:id="9">
    <w:p>
      <w:pPr>
        <w:pStyle w:val="Normal"/>
        <w:spacing w:before="0" w:after="240"/>
        <w:ind w:firstLine="720" w:end="0"/>
        <w:rPr/>
      </w:pPr>
      <w:r>
        <w:rPr>
          <w:rStyle w:val="FootnoteCharacters"/>
        </w:rPr>
        <w:footnoteRef/>
      </w:r>
      <w:r>
        <w:rPr>
          <w:rFonts w:cs="Times New Roman" w:ascii="Times New Roman" w:hAnsi="Times New Roman"/>
          <w:sz w:val="26"/>
        </w:rPr>
        <w:t>Northwest Natural and Puget Protest at 7-8.</w:t>
      </w:r>
    </w:p>
  </w:footnote>
  <w:footnote w:id="10">
    <w:p>
      <w:pPr>
        <w:pStyle w:val="Normal"/>
        <w:spacing w:before="0" w:after="240"/>
        <w:ind w:firstLine="720" w:end="0"/>
        <w:rPr/>
      </w:pPr>
      <w:r>
        <w:rPr>
          <w:rStyle w:val="FootnoteCharacters"/>
        </w:rPr>
        <w:footnoteRef/>
      </w:r>
      <w:r>
        <w:rPr>
          <w:rFonts w:cs="Times New Roman" w:ascii="Times New Roman" w:hAnsi="Times New Roman"/>
          <w:sz w:val="26"/>
        </w:rPr>
        <w:t>Duke Protest at 2.</w:t>
      </w:r>
    </w:p>
  </w:footnote>
  <w:footnote w:id="11">
    <w:p>
      <w:pPr>
        <w:pStyle w:val="Normal"/>
        <w:spacing w:before="0" w:after="240"/>
        <w:ind w:firstLine="720" w:end="0"/>
        <w:rPr/>
      </w:pPr>
      <w:r>
        <w:rPr>
          <w:rStyle w:val="FootnoteCharacters"/>
        </w:rPr>
        <w:footnoteRef/>
      </w:r>
      <w:r>
        <w:rPr>
          <w:rFonts w:cs="Times New Roman" w:ascii="Times New Roman" w:hAnsi="Times New Roman"/>
          <w:sz w:val="26"/>
        </w:rPr>
        <w:t>Industrial Gas Users Protest at 3.</w:t>
      </w:r>
    </w:p>
  </w:footnote>
  <w:footnote w:id="12">
    <w:p>
      <w:pPr>
        <w:pStyle w:val="Normal"/>
        <w:spacing w:before="0" w:after="240"/>
        <w:ind w:firstLine="720" w:end="0"/>
        <w:rPr/>
      </w:pPr>
      <w:r>
        <w:rPr>
          <w:rStyle w:val="FootnoteCharacters"/>
        </w:rPr>
        <w:footnoteRef/>
      </w:r>
      <w:r>
        <w:rPr>
          <w:rFonts w:cs="Times New Roman" w:ascii="Times New Roman" w:hAnsi="Times New Roman"/>
          <w:sz w:val="26"/>
        </w:rPr>
        <w:t>Industrial Gas Users Protest at 3.</w:t>
      </w:r>
    </w:p>
  </w:footnote>
  <w:footnote w:id="13">
    <w:p>
      <w:pPr>
        <w:pStyle w:val="Normal"/>
        <w:spacing w:before="0" w:after="240"/>
        <w:ind w:firstLine="720" w:end="0"/>
        <w:rPr/>
      </w:pPr>
      <w:r>
        <w:rPr>
          <w:rStyle w:val="FootnoteCharacters"/>
        </w:rPr>
        <w:footnoteRef/>
      </w:r>
      <w:r>
        <w:rPr>
          <w:rFonts w:cs="Times New Roman" w:ascii="Times New Roman" w:hAnsi="Times New Roman"/>
          <w:sz w:val="26"/>
        </w:rPr>
        <w:t>Industrial Gas Users Protest at 4.</w:t>
      </w:r>
    </w:p>
  </w:footnote>
  <w:footnote w:id="14">
    <w:p>
      <w:pPr>
        <w:pStyle w:val="Normal"/>
        <w:spacing w:before="0" w:after="240"/>
        <w:ind w:firstLine="720" w:end="0"/>
        <w:rPr/>
      </w:pPr>
      <w:r>
        <w:rPr>
          <w:rStyle w:val="FootnoteCharacters"/>
        </w:rPr>
        <w:footnoteRef/>
      </w:r>
      <w:r>
        <w:rPr>
          <w:rFonts w:cs="Times New Roman" w:ascii="Times New Roman" w:hAnsi="Times New Roman"/>
          <w:sz w:val="26"/>
        </w:rPr>
        <w:t>Industrial Gas Users Protest at 4.</w:t>
      </w:r>
    </w:p>
  </w:footnote>
  <w:footnote w:id="15">
    <w:p>
      <w:pPr>
        <w:pStyle w:val="Normal"/>
        <w:spacing w:before="0" w:after="240"/>
        <w:ind w:firstLine="720" w:end="0"/>
        <w:rPr/>
      </w:pPr>
      <w:r>
        <w:rPr>
          <w:rStyle w:val="FootnoteCharacters"/>
        </w:rPr>
        <w:footnoteRef/>
      </w:r>
      <w:r>
        <w:rPr>
          <w:rFonts w:cs="Times New Roman" w:ascii="Times New Roman" w:hAnsi="Times New Roman"/>
          <w:sz w:val="26"/>
        </w:rPr>
        <w:t>Industrial Gas Users Protest at 4 (citing 78 FERC ¶ 61,189 (1997)).</w:t>
      </w:r>
    </w:p>
  </w:footnote>
  <w:footnote w:id="16">
    <w:p>
      <w:pPr>
        <w:pStyle w:val="Normal"/>
        <w:spacing w:before="0" w:after="240"/>
        <w:ind w:firstLine="720" w:end="0"/>
        <w:rPr/>
      </w:pPr>
      <w:r>
        <w:rPr>
          <w:rStyle w:val="FootnoteCharacters"/>
        </w:rPr>
        <w:footnoteRef/>
      </w:r>
      <w:r>
        <w:rPr>
          <w:rFonts w:cs="Times New Roman" w:ascii="Times New Roman" w:hAnsi="Times New Roman"/>
          <w:sz w:val="26"/>
        </w:rPr>
        <w:t xml:space="preserve">Northwest Natural and Puget Protest at 8 (citing Northwest Pipeline Corporation, 87 FERC ¶ 61,266 at 62,041-46 (1999), </w:t>
      </w:r>
      <w:r>
        <w:rPr>
          <w:rFonts w:cs="Times New Roman" w:ascii="Times New Roman" w:hAnsi="Times New Roman"/>
          <w:sz w:val="26"/>
          <w:u w:val="single"/>
        </w:rPr>
        <w:t>reh'g</w:t>
      </w:r>
      <w:r>
        <w:rPr>
          <w:rFonts w:cs="Times New Roman" w:ascii="Times New Roman" w:hAnsi="Times New Roman"/>
          <w:sz w:val="26"/>
        </w:rPr>
        <w:t xml:space="preserve"> </w:t>
      </w:r>
      <w:r>
        <w:rPr>
          <w:rFonts w:cs="Times New Roman" w:ascii="Times New Roman" w:hAnsi="Times New Roman"/>
          <w:sz w:val="26"/>
          <w:u w:val="single"/>
        </w:rPr>
        <w:t>denied</w:t>
      </w:r>
      <w:r>
        <w:rPr>
          <w:rFonts w:cs="Times New Roman" w:ascii="Times New Roman" w:hAnsi="Times New Roman"/>
          <w:sz w:val="26"/>
        </w:rPr>
        <w:t xml:space="preserve"> 92 FERC ¶ 61,287 at 61,992-93 (2000) (facility charges for Tumwater, Olympia and SUB projects)).</w:t>
      </w:r>
    </w:p>
  </w:footnote>
  <w:footnote w:id="17">
    <w:p>
      <w:pPr>
        <w:pStyle w:val="Normal"/>
        <w:spacing w:before="0" w:after="240"/>
        <w:ind w:firstLine="720" w:end="0"/>
        <w:rPr/>
      </w:pPr>
      <w:r>
        <w:rPr>
          <w:rStyle w:val="FootnoteCharacters"/>
        </w:rPr>
        <w:footnoteRef/>
      </w:r>
      <w:r>
        <w:rPr>
          <w:rFonts w:cs="Times New Roman" w:ascii="Times New Roman" w:hAnsi="Times New Roman"/>
          <w:sz w:val="26"/>
        </w:rPr>
        <w:t>Northwest Natural and Puget Protest at 9.</w:t>
      </w:r>
    </w:p>
  </w:footnote>
  <w:footnote w:id="18">
    <w:p>
      <w:pPr>
        <w:pStyle w:val="Normal"/>
        <w:spacing w:before="0" w:after="240"/>
        <w:ind w:firstLine="720" w:end="0"/>
        <w:rPr/>
      </w:pPr>
      <w:r>
        <w:rPr>
          <w:rStyle w:val="FootnoteCharacters"/>
        </w:rPr>
        <w:footnoteRef/>
      </w:r>
      <w:r>
        <w:rPr>
          <w:rFonts w:cs="Times New Roman" w:ascii="Times New Roman" w:hAnsi="Times New Roman"/>
          <w:sz w:val="26"/>
          <w:u w:val="single"/>
        </w:rPr>
        <w:t>Id</w:t>
      </w:r>
      <w:r>
        <w:rPr>
          <w:rFonts w:cs="Times New Roman" w:ascii="Times New Roman" w:hAnsi="Times New Roman"/>
          <w:sz w:val="26"/>
        </w:rPr>
        <w:t>. (citing Northwest Pipeline Corporation, 78 FERC ¶ 61,189 at 61,806 (1997)).</w:t>
      </w:r>
    </w:p>
  </w:footnote>
  <w:footnote w:id="19">
    <w:p>
      <w:pPr>
        <w:pStyle w:val="Normal"/>
        <w:spacing w:before="0" w:after="240"/>
        <w:ind w:firstLine="720" w:end="0"/>
        <w:rPr/>
      </w:pPr>
      <w:r>
        <w:rPr>
          <w:rStyle w:val="FootnoteCharacters"/>
        </w:rPr>
        <w:footnoteRef/>
      </w:r>
      <w:r>
        <w:rPr>
          <w:rFonts w:cs="Times New Roman" w:ascii="Times New Roman" w:hAnsi="Times New Roman"/>
          <w:sz w:val="26"/>
          <w:u w:val="single"/>
        </w:rPr>
        <w:t>Id</w:t>
      </w:r>
      <w:r>
        <w:rPr>
          <w:rFonts w:cs="Times New Roman" w:ascii="Times New Roman" w:hAnsi="Times New Roman"/>
          <w:sz w:val="26"/>
        </w:rPr>
        <w:t xml:space="preserve">. </w:t>
      </w:r>
    </w:p>
  </w:footnote>
  <w:footnote w:id="20">
    <w:p>
      <w:pPr>
        <w:pStyle w:val="Normal"/>
        <w:spacing w:before="0" w:after="240"/>
        <w:ind w:firstLine="720" w:end="0"/>
        <w:rPr/>
      </w:pPr>
      <w:r>
        <w:rPr>
          <w:rStyle w:val="FootnoteCharacters"/>
        </w:rPr>
        <w:footnoteRef/>
      </w:r>
      <w:r>
        <w:rPr>
          <w:rFonts w:cs="Times New Roman" w:ascii="Times New Roman" w:hAnsi="Times New Roman"/>
          <w:sz w:val="26"/>
          <w:u w:val="single"/>
        </w:rPr>
        <w:t>Id</w:t>
      </w:r>
      <w:r>
        <w:rPr>
          <w:rFonts w:cs="Times New Roman" w:ascii="Times New Roman" w:hAnsi="Times New Roman"/>
          <w:sz w:val="26"/>
        </w:rPr>
        <w:t>.</w:t>
      </w:r>
    </w:p>
  </w:footnote>
  <w:footnote w:id="21">
    <w:p>
      <w:pPr>
        <w:pStyle w:val="Normal"/>
        <w:spacing w:before="0" w:after="240"/>
        <w:ind w:firstLine="720" w:end="0"/>
        <w:rPr/>
      </w:pPr>
      <w:r>
        <w:rPr>
          <w:rStyle w:val="FootnoteCharacters"/>
        </w:rPr>
        <w:footnoteRef/>
      </w:r>
      <w:r>
        <w:rPr>
          <w:rFonts w:cs="Times New Roman" w:ascii="Times New Roman" w:hAnsi="Times New Roman"/>
          <w:sz w:val="26"/>
        </w:rPr>
        <w:t>Northwest Natural and Puget Protest at 9-10.</w:t>
      </w:r>
    </w:p>
  </w:footnote>
  <w:footnote w:id="22">
    <w:p>
      <w:pPr>
        <w:pStyle w:val="Normal"/>
        <w:spacing w:before="0" w:after="240"/>
        <w:ind w:firstLine="720" w:end="0"/>
        <w:rPr/>
      </w:pPr>
      <w:r>
        <w:rPr>
          <w:rStyle w:val="FootnoteCharacters"/>
        </w:rPr>
        <w:footnoteRef/>
      </w:r>
      <w:r>
        <w:rPr>
          <w:rFonts w:cs="Times New Roman" w:ascii="Times New Roman" w:hAnsi="Times New Roman"/>
          <w:sz w:val="26"/>
        </w:rPr>
        <w:t>Northwest Natural and Puget Protest at 10-11.</w:t>
      </w:r>
    </w:p>
  </w:footnote>
  <w:footnote w:id="23">
    <w:p>
      <w:pPr>
        <w:pStyle w:val="Normal"/>
        <w:spacing w:before="0" w:after="240"/>
        <w:ind w:firstLine="720" w:end="0"/>
        <w:rPr/>
      </w:pPr>
      <w:r>
        <w:rPr>
          <w:rStyle w:val="FootnoteCharacters"/>
        </w:rPr>
        <w:footnoteRef/>
      </w:r>
      <w:r>
        <w:rPr>
          <w:rFonts w:cs="Times New Roman" w:ascii="Times New Roman" w:hAnsi="Times New Roman"/>
          <w:sz w:val="26"/>
        </w:rPr>
        <w:t xml:space="preserve">Panhandle Eastern Pipe Line Company, 91 FERC ¶ 61,037 at 61,141 (2000).  </w:t>
      </w:r>
    </w:p>
  </w:footnote>
  <w:footnote w:id="24">
    <w:p>
      <w:pPr>
        <w:pStyle w:val="Normal"/>
        <w:spacing w:before="0" w:after="240"/>
        <w:ind w:firstLine="720" w:end="0"/>
        <w:rPr/>
      </w:pPr>
      <w:r>
        <w:rPr>
          <w:rStyle w:val="FootnoteCharacters"/>
        </w:rPr>
        <w:footnoteRef/>
      </w:r>
      <w:r>
        <w:rPr>
          <w:rFonts w:cs="Times New Roman" w:ascii="Times New Roman" w:hAnsi="Times New Roman"/>
          <w:sz w:val="26"/>
        </w:rPr>
        <w:t xml:space="preserve">The five conditions are: (1) the party seeking the interconnection must bear the cost of construction if the pipeline performs the task or could construct itself, (2) the proposed interconnection must have no adverse impact on pipeline operations, (3) the proposed interconnection must not diminish service to current customers, (4) the proposed interconnection must not cause violation of any applicable environmental or safety laws, and (5) the proposed interconnection must not cause the pipeline to be in violation of its right-of-way agreements or any other contractual obligations with respect to the interconnection facilities. </w:t>
      </w:r>
      <w:r>
        <w:rPr>
          <w:rFonts w:cs="Times New Roman" w:ascii="Times New Roman" w:hAnsi="Times New Roman"/>
          <w:sz w:val="26"/>
          <w:u w:val="single"/>
        </w:rPr>
        <w:t>See</w:t>
      </w:r>
      <w:r>
        <w:rPr>
          <w:rFonts w:cs="Times New Roman" w:ascii="Times New Roman" w:hAnsi="Times New Roman"/>
          <w:sz w:val="26"/>
        </w:rPr>
        <w:t xml:space="preserve"> </w:t>
      </w:r>
      <w:r>
        <w:rPr>
          <w:rFonts w:cs="Times New Roman" w:ascii="Times New Roman" w:hAnsi="Times New Roman"/>
          <w:sz w:val="26"/>
          <w:u w:val="single"/>
        </w:rPr>
        <w:t>id.</w:t>
      </w:r>
      <w:r>
        <w:rPr>
          <w:rFonts w:cs="Times New Roman" w:ascii="Times New Roman" w:hAnsi="Times New Roman"/>
          <w:sz w:val="26"/>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mirrorMargins/>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notes" Target="footnot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2001-03-19T21:42:00Z</dcterms:created>
  <dc:creator>E51026</dc:creator>
  <dc:description/>
  <dc:language>en-CA</dc:language>
  <cp:lastModifiedBy>E51026</cp:lastModifiedBy>
  <dcterms:modified xsi:type="dcterms:W3CDTF">2001-03-19T21:42:00Z</dcterms:modified>
  <cp:revision>2</cp:revision>
  <dc:subject/>
  <dc:title/>
</cp:coreProperties>
</file>