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t>BEFORE THE UNITED STATES OF AMERICA</w:t>
      </w:r>
    </w:p>
    <w:p>
      <w:pPr>
        <w:pStyle w:val="Normal"/>
        <w:jc w:val="center"/>
        <w:rPr/>
      </w:pPr>
      <w:r>
        <w:rPr/>
        <w:t>FEDERAL ENERGY REGULATORY COMMISSION</w:t>
      </w:r>
    </w:p>
    <w:p>
      <w:pPr>
        <w:pStyle w:val="Normal"/>
        <w:jc w:val="center"/>
        <w:rPr/>
      </w:pPr>
      <w:r>
        <w:rPr/>
      </w:r>
    </w:p>
    <w:p>
      <w:pPr>
        <w:pStyle w:val="Normal"/>
        <w:jc w:val="center"/>
        <w:rPr/>
      </w:pPr>
      <w:r>
        <w:rPr/>
      </w:r>
    </w:p>
    <w:p>
      <w:pPr>
        <w:pStyle w:val="Normal"/>
        <w:jc w:val="both"/>
        <w:rPr/>
      </w:pPr>
      <w:r>
        <w:rPr/>
        <w:t>NATIONAL ASSOCIATION OF GAS</w:t>
        <w:tab/>
        <w:tab/>
        <w:t>}</w:t>
      </w:r>
    </w:p>
    <w:p>
      <w:pPr>
        <w:pStyle w:val="Normal"/>
        <w:jc w:val="both"/>
        <w:rPr/>
      </w:pPr>
      <w:r>
        <w:rPr/>
        <w:t>CONSUMERS,</w:t>
        <w:tab/>
        <w:tab/>
        <w:tab/>
        <w:tab/>
        <w:tab/>
        <w:t>}</w:t>
      </w:r>
    </w:p>
    <w:p>
      <w:pPr>
        <w:pStyle w:val="Normal"/>
        <w:jc w:val="both"/>
        <w:rPr/>
      </w:pPr>
      <w:r>
        <w:rPr/>
        <w:tab/>
        <w:tab/>
        <w:tab/>
        <w:tab/>
        <w:tab/>
        <w:tab/>
        <w:tab/>
        <w:t>}</w:t>
      </w:r>
    </w:p>
    <w:p>
      <w:pPr>
        <w:pStyle w:val="Normal"/>
        <w:jc w:val="both"/>
        <w:rPr/>
      </w:pPr>
      <w:r>
        <w:rPr/>
        <w:tab/>
        <w:tab/>
        <w:tab/>
        <w:t>Complainant</w:t>
        <w:tab/>
        <w:tab/>
        <w:tab/>
        <w:t>}</w:t>
      </w:r>
    </w:p>
    <w:p>
      <w:pPr>
        <w:pStyle w:val="Normal"/>
        <w:jc w:val="both"/>
        <w:rPr/>
      </w:pPr>
      <w:r>
        <w:rPr/>
        <w:tab/>
        <w:tab/>
        <w:tab/>
        <w:tab/>
        <w:tab/>
        <w:tab/>
        <w:tab/>
        <w:t>}</w:t>
        <w:tab/>
        <w:t>Docket No. RP01-223-000</w:t>
      </w:r>
    </w:p>
    <w:p>
      <w:pPr>
        <w:pStyle w:val="Normal"/>
        <w:jc w:val="both"/>
        <w:rPr/>
      </w:pPr>
      <w:r>
        <w:rPr/>
        <w:t>v.</w:t>
        <w:tab/>
        <w:tab/>
        <w:tab/>
        <w:tab/>
        <w:tab/>
        <w:tab/>
        <w:tab/>
        <w:t>}</w:t>
      </w:r>
    </w:p>
    <w:p>
      <w:pPr>
        <w:pStyle w:val="Normal"/>
        <w:jc w:val="both"/>
        <w:rPr/>
      </w:pPr>
      <w:r>
        <w:rPr/>
        <w:tab/>
        <w:tab/>
        <w:tab/>
        <w:tab/>
        <w:tab/>
        <w:tab/>
        <w:tab/>
        <w:t>}</w:t>
      </w:r>
    </w:p>
    <w:p>
      <w:pPr>
        <w:pStyle w:val="Normal"/>
        <w:jc w:val="both"/>
        <w:rPr/>
      </w:pPr>
      <w:r>
        <w:rPr/>
        <w:t>ALL SELLERS OF NATURAL GAS IN</w:t>
        <w:tab/>
        <w:tab/>
        <w:t>}</w:t>
      </w:r>
    </w:p>
    <w:p>
      <w:pPr>
        <w:pStyle w:val="Normal"/>
        <w:jc w:val="both"/>
        <w:rPr/>
      </w:pPr>
      <w:r>
        <w:rPr/>
        <w:t>THE UNITED STATES OF AMERICA</w:t>
        <w:tab/>
        <w:tab/>
        <w:t>}</w:t>
      </w:r>
    </w:p>
    <w:p>
      <w:pPr>
        <w:pStyle w:val="Normal"/>
        <w:jc w:val="both"/>
        <w:rPr/>
      </w:pPr>
      <w:r>
        <w:rPr/>
        <w:t>IN INTERSTATE COMMERCE,</w:t>
        <w:tab/>
        <w:tab/>
        <w:tab/>
        <w:t>}</w:t>
      </w:r>
    </w:p>
    <w:p>
      <w:pPr>
        <w:pStyle w:val="Normal"/>
        <w:jc w:val="both"/>
        <w:rPr/>
      </w:pPr>
      <w:r>
        <w:rPr/>
        <w:tab/>
        <w:tab/>
        <w:tab/>
        <w:tab/>
        <w:tab/>
        <w:tab/>
        <w:tab/>
        <w:t>}</w:t>
      </w:r>
    </w:p>
    <w:p>
      <w:pPr>
        <w:pStyle w:val="Normal"/>
        <w:jc w:val="both"/>
        <w:rPr/>
      </w:pPr>
      <w:r>
        <w:rPr/>
        <w:tab/>
        <w:tab/>
        <w:tab/>
        <w:t>Respondents</w:t>
        <w:tab/>
        <w:tab/>
        <w:tab/>
        <w:t>}</w:t>
      </w:r>
    </w:p>
    <w:p>
      <w:pPr>
        <w:pStyle w:val="Normal"/>
        <w:jc w:val="both"/>
        <w:rPr/>
      </w:pPr>
      <w:r>
        <w:rPr/>
      </w:r>
    </w:p>
    <w:p>
      <w:pPr>
        <w:pStyle w:val="Normal"/>
        <w:jc w:val="both"/>
        <w:rPr/>
      </w:pPr>
      <w:r>
        <w:rPr/>
      </w:r>
    </w:p>
    <w:p>
      <w:pPr>
        <w:pStyle w:val="Normal"/>
        <w:jc w:val="center"/>
        <w:rPr/>
      </w:pPr>
      <w:r>
        <w:rPr/>
        <w:t>MOTION OF ENRON CORP. FOR LEAVE TO</w:t>
      </w:r>
    </w:p>
    <w:p>
      <w:pPr>
        <w:pStyle w:val="Normal"/>
        <w:jc w:val="center"/>
        <w:rPr/>
      </w:pPr>
      <w:r>
        <w:rPr/>
        <w:t>INTERVENE AND ANSWER TO COMPLAINT</w:t>
      </w:r>
    </w:p>
    <w:p>
      <w:pPr>
        <w:pStyle w:val="Normal"/>
        <w:jc w:val="center"/>
        <w:rPr/>
      </w:pPr>
      <w:r>
        <w:rPr/>
      </w:r>
    </w:p>
    <w:p>
      <w:pPr>
        <w:pStyle w:val="BodyText"/>
        <w:rPr/>
      </w:pPr>
      <w:r>
        <w:rPr/>
        <w:tab/>
        <w:t>On February 1, 2001, the National Association of Gas Consumers (“NAGC”) filed a complaint with the Federal Energy Regulatory Commission (“Commission”) in the above-captioned docket.  NAGC requests that the Commission “issue an immediate order setting a benchmark price for natural gas in the United States and provide that any sale above that level be subject to complaints filed at the Commission for refunds of unjust and unreasonable rates for three years commencing January 1, 2001.”  In the alternative, NAGC asks that the Commission investigate current natural gas prices and order that sellers refund excessive prices to consumers.  Enron North America Corp. opposes NAGC’s request and asserts that the relief sought is both outside the scope of the Commission’s authority and counter to sound public policy.  In support of Enron’s position, we submit the following:</w:t>
      </w:r>
    </w:p>
    <w:p>
      <w:pPr>
        <w:pStyle w:val="BodyText"/>
        <w:keepNext w:val="true"/>
        <w:jc w:val="center"/>
        <w:rPr>
          <w:b/>
        </w:rPr>
      </w:pPr>
      <w:r>
        <w:rPr>
          <w:b/>
        </w:rPr>
        <w:t>I.</w:t>
      </w:r>
    </w:p>
    <w:p>
      <w:pPr>
        <w:pStyle w:val="BodyText"/>
        <w:tabs>
          <w:tab w:val="left" w:pos="720" w:leader="none"/>
          <w:tab w:val="left" w:pos="4320" w:leader="none"/>
          <w:tab w:val="left" w:pos="5040" w:leader="none"/>
        </w:tabs>
        <w:rPr/>
      </w:pPr>
      <w:r>
        <w:rPr/>
        <w:tab/>
        <w:t>The names, titles, and mailing addresses of the persons to whom correspondence and communications concerning this proceeding are to be sent are as follows:</w:t>
      </w:r>
    </w:p>
    <w:p>
      <w:pPr>
        <w:pStyle w:val="Normal"/>
        <w:tabs>
          <w:tab w:val="clear" w:pos="720"/>
          <w:tab w:val="left" w:pos="1440" w:leader="none"/>
          <w:tab w:val="left" w:pos="3600" w:leader="none"/>
          <w:tab w:val="left" w:pos="4320" w:leader="none"/>
          <w:tab w:val="left" w:pos="5040" w:leader="none"/>
          <w:tab w:val="left" w:pos="5856" w:leader="none"/>
        </w:tabs>
        <w:jc w:val="both"/>
        <w:rPr/>
      </w:pPr>
      <w:r>
        <w:rPr/>
      </w:r>
    </w:p>
    <w:p>
      <w:pPr>
        <w:pStyle w:val="Normal"/>
        <w:tabs>
          <w:tab w:val="left" w:pos="720" w:leader="none"/>
          <w:tab w:val="left" w:pos="3600" w:leader="none"/>
          <w:tab w:val="left" w:pos="4320" w:leader="none"/>
          <w:tab w:val="left" w:pos="5040" w:leader="none"/>
          <w:tab w:val="left" w:pos="5856" w:leader="none"/>
        </w:tabs>
        <w:jc w:val="both"/>
        <w:rPr/>
      </w:pPr>
      <w:r>
        <w:rPr/>
        <w:tab/>
        <w:t>Leslie J. Lawner, Esq.</w:t>
        <w:tab/>
        <w:tab/>
        <w:tab/>
        <w:t>*Rebecca Cantrell</w:t>
      </w:r>
    </w:p>
    <w:p>
      <w:pPr>
        <w:pStyle w:val="Normal"/>
        <w:tabs>
          <w:tab w:val="left" w:pos="720" w:leader="none"/>
          <w:tab w:val="left" w:pos="3600" w:leader="none"/>
          <w:tab w:val="left" w:pos="4320" w:leader="none"/>
          <w:tab w:val="left" w:pos="5040" w:leader="none"/>
          <w:tab w:val="left" w:pos="5856" w:leader="none"/>
        </w:tabs>
        <w:ind w:hanging="2160" w:start="2160" w:end="0"/>
        <w:jc w:val="both"/>
        <w:rPr/>
      </w:pPr>
      <w:r>
        <w:rPr/>
        <w:tab/>
        <w:t>Enron Corp.</w:t>
        <w:tab/>
        <w:tab/>
        <w:tab/>
        <w:tab/>
        <w:t>Enron North America Corp.</w:t>
      </w:r>
    </w:p>
    <w:p>
      <w:pPr>
        <w:pStyle w:val="Normal"/>
        <w:tabs>
          <w:tab w:val="left" w:pos="720" w:leader="none"/>
          <w:tab w:val="left" w:pos="3600" w:leader="none"/>
          <w:tab w:val="left" w:pos="4320" w:leader="none"/>
          <w:tab w:val="left" w:pos="5040" w:leader="none"/>
          <w:tab w:val="left" w:pos="5856" w:leader="none"/>
        </w:tabs>
        <w:jc w:val="both"/>
        <w:rPr/>
      </w:pPr>
      <w:r>
        <w:rPr/>
        <w:tab/>
        <w:t>712 N. Lea</w:t>
        <w:tab/>
        <w:tab/>
        <w:tab/>
        <w:t>P. O. Box 1188</w:t>
      </w:r>
    </w:p>
    <w:p>
      <w:pPr>
        <w:pStyle w:val="Normal"/>
        <w:tabs>
          <w:tab w:val="left" w:pos="720" w:leader="none"/>
          <w:tab w:val="left" w:pos="3600" w:leader="none"/>
          <w:tab w:val="left" w:pos="4320" w:leader="none"/>
          <w:tab w:val="left" w:pos="5040" w:leader="none"/>
          <w:tab w:val="left" w:pos="5856" w:leader="none"/>
        </w:tabs>
        <w:jc w:val="both"/>
        <w:rPr/>
      </w:pPr>
      <w:r>
        <w:rPr/>
        <w:tab/>
        <w:t>Roswell, New Mexico  88201</w:t>
        <w:tab/>
        <w:tab/>
        <w:tab/>
        <w:t>Houston, Texas  77251-1188</w:t>
      </w:r>
    </w:p>
    <w:p>
      <w:pPr>
        <w:pStyle w:val="Normal"/>
        <w:tabs>
          <w:tab w:val="left" w:pos="720" w:leader="none"/>
          <w:tab w:val="left" w:pos="3600" w:leader="none"/>
          <w:tab w:val="left" w:pos="4320" w:leader="none"/>
          <w:tab w:val="left" w:pos="5040" w:leader="none"/>
          <w:tab w:val="left" w:pos="5856" w:leader="none"/>
        </w:tabs>
        <w:jc w:val="both"/>
        <w:rPr/>
      </w:pPr>
      <w:r>
        <w:rPr/>
        <w:tab/>
        <w:t>(505) 623-6778</w:t>
        <w:tab/>
        <w:tab/>
        <w:tab/>
        <w:t>(713) 853-5840</w:t>
      </w:r>
    </w:p>
    <w:p>
      <w:pPr>
        <w:pStyle w:val="Normal"/>
        <w:tabs>
          <w:tab w:val="left" w:pos="720" w:leader="none"/>
          <w:tab w:val="left" w:pos="3600" w:leader="none"/>
          <w:tab w:val="left" w:pos="4320" w:leader="none"/>
          <w:tab w:val="left" w:pos="5040" w:leader="none"/>
          <w:tab w:val="left" w:pos="5856" w:leader="none"/>
        </w:tabs>
        <w:jc w:val="both"/>
        <w:rPr/>
      </w:pPr>
      <w:r>
        <w:rPr/>
        <w:tab/>
        <w:t>FAX (505) 625-2820</w:t>
        <w:tab/>
        <w:tab/>
        <w:tab/>
        <w:t>FAX (713) 646-5785</w:t>
      </w:r>
    </w:p>
    <w:p>
      <w:pPr>
        <w:pStyle w:val="Normal"/>
        <w:tabs>
          <w:tab w:val="left" w:pos="720" w:leader="none"/>
          <w:tab w:val="left" w:pos="3600" w:leader="none"/>
          <w:tab w:val="left" w:pos="4320" w:leader="none"/>
          <w:tab w:val="left" w:pos="5040" w:leader="none"/>
          <w:tab w:val="left" w:pos="5856" w:leader="none"/>
        </w:tabs>
        <w:jc w:val="both"/>
        <w:rPr/>
      </w:pPr>
      <w:r>
        <w:rPr/>
        <w:tab/>
        <w:tab/>
        <w:tab/>
        <w:tab/>
      </w:r>
      <w:hyperlink r:id="rId2">
        <w:r>
          <w:rPr>
            <w:rStyle w:val="Hyperlink"/>
          </w:rPr>
          <w:t>Rebecca.W.Cantrell@enron.com</w:t>
        </w:r>
      </w:hyperlink>
    </w:p>
    <w:p>
      <w:pPr>
        <w:pStyle w:val="Normal"/>
        <w:tabs>
          <w:tab w:val="left" w:pos="720" w:leader="none"/>
          <w:tab w:val="left" w:pos="3600" w:leader="none"/>
          <w:tab w:val="left" w:pos="4320" w:leader="none"/>
          <w:tab w:val="left" w:pos="5040" w:leader="none"/>
          <w:tab w:val="left" w:pos="5856" w:leader="none"/>
        </w:tabs>
        <w:jc w:val="both"/>
        <w:rPr>
          <w:rStyle w:val="Hyperlink"/>
        </w:rPr>
      </w:pPr>
      <w:hyperlink r:id="rId3">
        <w:r>
          <w:rPr/>
        </w:r>
      </w:hyperlink>
    </w:p>
    <w:p>
      <w:pPr>
        <w:pStyle w:val="Normal"/>
        <w:tabs>
          <w:tab w:val="left" w:pos="720" w:leader="none"/>
          <w:tab w:val="left" w:pos="3600" w:leader="none"/>
          <w:tab w:val="left" w:pos="4320" w:leader="none"/>
          <w:tab w:val="left" w:pos="5040" w:leader="none"/>
          <w:tab w:val="left" w:pos="5856" w:leader="none"/>
        </w:tabs>
        <w:jc w:val="both"/>
        <w:rPr/>
      </w:pPr>
      <w:r>
        <w:rPr/>
      </w:r>
    </w:p>
    <w:p>
      <w:pPr>
        <w:pStyle w:val="Normal"/>
        <w:tabs>
          <w:tab w:val="left" w:pos="720" w:leader="none"/>
          <w:tab w:val="left" w:pos="3600" w:leader="none"/>
          <w:tab w:val="left" w:pos="4320" w:leader="none"/>
          <w:tab w:val="left" w:pos="5040" w:leader="none"/>
          <w:tab w:val="left" w:pos="5856" w:leader="none"/>
        </w:tabs>
        <w:jc w:val="both"/>
        <w:rPr/>
      </w:pPr>
      <w:r>
        <w:rPr/>
        <w:tab/>
        <w:t>*Designated for service in accordance with Rule 203, 18 C.F.R. §385.203, of the Commission’s Rules of Practice and Procedure.</w:t>
      </w:r>
    </w:p>
    <w:p>
      <w:pPr>
        <w:pStyle w:val="Normal"/>
        <w:tabs>
          <w:tab w:val="left" w:pos="720" w:leader="none"/>
          <w:tab w:val="left" w:pos="3600" w:leader="none"/>
          <w:tab w:val="left" w:pos="4320" w:leader="none"/>
          <w:tab w:val="left" w:pos="5040" w:leader="none"/>
          <w:tab w:val="left" w:pos="5856" w:leader="none"/>
        </w:tabs>
        <w:jc w:val="both"/>
        <w:rPr/>
      </w:pPr>
      <w:r>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jc w:val="center"/>
        <w:rPr>
          <w:b/>
        </w:rPr>
      </w:pPr>
      <w:r>
        <w:rPr>
          <w:b/>
        </w:rPr>
        <w:t>II.</w:t>
      </w:r>
    </w:p>
    <w:p>
      <w:pPr>
        <w:pStyle w:val="BodyText"/>
        <w:tabs>
          <w:tab w:val="left" w:pos="720" w:leader="none"/>
          <w:tab w:val="left" w:pos="3600" w:leader="none"/>
          <w:tab w:val="left" w:pos="4320" w:leader="none"/>
          <w:tab w:val="left" w:pos="5040" w:leader="none"/>
          <w:tab w:val="left" w:pos="5856" w:leader="none"/>
        </w:tabs>
        <w:rPr/>
      </w:pPr>
      <w:r>
        <w:rPr/>
        <w:tab/>
        <w:t>Enron Corp. markets natural gas for resale in interstate commerce through its subsidiary, Enron North America Corp. (“Enron” or “ENA”).  ENA is comprised of a number of companies which are subsidiaries of Enron Corp.  In the natural gas industry, ENA's activities include buying and selling natural gas in North America, providing a broad array of services to gas producers, offering price hedging and risk management services to gas buyers and sellers, and offering producers and other market participants various financing options.  The ENA companies are among the largest natural gas marketers in the U. S., buying and selling under a mix of spot, intermediate and long-term contracts with both fixed and indexed pricing structures.</w:t>
      </w:r>
    </w:p>
    <w:p>
      <w:pPr>
        <w:pStyle w:val="BodyText"/>
        <w:tabs>
          <w:tab w:val="left" w:pos="720" w:leader="none"/>
          <w:tab w:val="left" w:pos="3600" w:leader="none"/>
          <w:tab w:val="left" w:pos="4320" w:leader="none"/>
          <w:tab w:val="left" w:pos="5040" w:leader="none"/>
          <w:tab w:val="left" w:pos="5856" w:leader="none"/>
        </w:tabs>
        <w:rPr/>
      </w:pPr>
      <w:r>
        <w:rPr/>
        <w:tab/>
        <w:t>As a marketer of natural gas, the ENA companies have an interest which may be directly affected by the outcome in these proceedings.  Moreover, ENA’s interests cannot be adequately represented by any other party to these proceedings, and ENA’s participation in these proceedings will be in the public interest.</w:t>
      </w:r>
    </w:p>
    <w:p>
      <w:pPr>
        <w:pStyle w:val="BodyText"/>
        <w:keepNext w:val="true"/>
        <w:tabs>
          <w:tab w:val="left" w:pos="720" w:leader="none"/>
          <w:tab w:val="left" w:pos="3600" w:leader="none"/>
          <w:tab w:val="left" w:pos="4320" w:leader="none"/>
          <w:tab w:val="left" w:pos="5040" w:leader="none"/>
          <w:tab w:val="left" w:pos="5856" w:leader="none"/>
        </w:tabs>
        <w:jc w:val="center"/>
        <w:rPr/>
      </w:pPr>
      <w:r>
        <w:rPr/>
        <w:t>III.</w:t>
      </w:r>
    </w:p>
    <w:p>
      <w:pPr>
        <w:pStyle w:val="BodyText"/>
        <w:keepNext w:val="true"/>
        <w:tabs>
          <w:tab w:val="left" w:pos="720" w:leader="none"/>
          <w:tab w:val="left" w:pos="3600" w:leader="none"/>
          <w:tab w:val="left" w:pos="4320" w:leader="none"/>
          <w:tab w:val="left" w:pos="5040" w:leader="none"/>
          <w:tab w:val="left" w:pos="5856" w:leader="none"/>
        </w:tabs>
        <w:spacing w:lineRule="auto" w:line="240"/>
        <w:ind w:start="720" w:end="0"/>
        <w:rPr>
          <w:u w:val="single"/>
        </w:rPr>
      </w:pPr>
      <w:r>
        <w:rPr>
          <w:u w:val="single"/>
        </w:rPr>
        <w:t>A.  The Commission Lacks Legal Authority to Set Price Caps on Natural Gas Sales for Resale.</w:t>
      </w:r>
    </w:p>
    <w:p>
      <w:pPr>
        <w:pStyle w:val="BodyText"/>
        <w:keepNext w:val="true"/>
        <w:tabs>
          <w:tab w:val="left" w:pos="720" w:leader="none"/>
          <w:tab w:val="left" w:pos="3600" w:leader="none"/>
          <w:tab w:val="left" w:pos="4320" w:leader="none"/>
          <w:tab w:val="left" w:pos="5040" w:leader="none"/>
          <w:tab w:val="left" w:pos="5856" w:leader="none"/>
        </w:tabs>
        <w:spacing w:lineRule="auto" w:line="240"/>
        <w:ind w:start="720" w:end="0"/>
        <w:rPr>
          <w:u w:val="single"/>
        </w:rPr>
      </w:pPr>
      <w:r>
        <w:rPr>
          <w:u w:val="single"/>
        </w:rPr>
      </w:r>
    </w:p>
    <w:p>
      <w:pPr>
        <w:pStyle w:val="BodyTextIndent"/>
        <w:rPr/>
      </w:pPr>
      <w:r>
        <w:rPr/>
        <w:t>Enron must oppose the NAGC complaint.  First and foremost, the subject matter of the complaint – the price of natural gas sold for resale in interstate commerce – has been explicitly removed from the jurisdictional purview of the Commission by Section 601(a)(1)(A) of the Natural Gas Policy Act, 15 U.S.C. §3431(a)(1)(A) (“NGPA”).  This section provides that for the purposes of section 1(b) of the Natural Gas Act, 15 U.S.C. §717(b) (“NGA”), the provisions of the Natural Gas Act and the jurisdiction of the Commission under such act shall not apply to any natural gas solely by reason of any first sale of such natural gas.  While there is a narrow statutory exception to this provision, which we will address below, the bottom line is that Congress deregulated sales for resale of natural gas in interstate commerce.  It did so openly, advisedly, and with the full understanding that regulation of the wholesale price of natural gas had led to natural gas shortages and to dislocations in market supply and demand that would only be rectified by allowing producers and other suppliers of natural gas to sell at market prices.  If the consumers served by the NAGC utilities are put out by the current high prices for natural gas, imagine their reaction if price caps are reimposed and, instead of high prices, they are faced with gas shortages and curtailments.</w:t>
      </w:r>
    </w:p>
    <w:p>
      <w:pPr>
        <w:pStyle w:val="Normal"/>
        <w:spacing w:lineRule="auto" w:line="480"/>
        <w:ind w:firstLine="720" w:end="0"/>
        <w:jc w:val="both"/>
        <w:rPr/>
      </w:pPr>
      <w:r>
        <w:rPr/>
        <w:t>NAGC asserts that the present and projected wholesale prices for natural gas in the U.S. are grossly excessive and adversely affect consumers.  NAGC claims that the present and projected gas prices for the next three years are unjust and unreasonable.  However, under Section 601(b)(1)(A) of the Natural Gas Policy Act, for the purposes of sections 4 and 5 of the Natural Gas Act, any amount paid in any first sale of natural gas shall be deemed to be just and reasonable.</w:t>
      </w:r>
      <w:r>
        <w:rPr>
          <w:rStyle w:val="FootnoteCharacters"/>
          <w:rStyle w:val="FootnoteReference"/>
        </w:rPr>
        <w:footnoteReference w:id="2"/>
      </w:r>
      <w:r>
        <w:rPr/>
        <w:t xml:space="preserve">  NAGC’s claim that the provisions of Section 4 of the Natural Gas Act permit the Commission to set a benchmark price for natural gas and that payments above that benchmark could be subject to refund in future complaint proceedings flies in the face of the plain and controlling language of the Natural Gas Policy Act. </w:t>
      </w:r>
    </w:p>
    <w:p>
      <w:pPr>
        <w:pStyle w:val="Normal"/>
        <w:spacing w:lineRule="auto" w:line="480"/>
        <w:ind w:firstLine="720" w:end="0"/>
        <w:jc w:val="both"/>
        <w:rPr/>
      </w:pPr>
      <w:r>
        <w:rPr/>
        <w:t>Even if the Commission could act to limit prices for first sales of natural gas, there is no basis to adopt the pricing structure NAGC has proposed.  NAGC relies on a report issued by the National Petroleum Council published in December of 1999, entitled “</w:t>
      </w:r>
      <w:r>
        <w:rPr>
          <w:i/>
        </w:rPr>
        <w:t>Meeting the Challenges of the Nation’s Growing Gas Demand</w:t>
      </w:r>
      <w:r>
        <w:rPr/>
        <w:t xml:space="preserve">” (“Report”) to justify a price cap of $2.74 per MMBtu.  The Report, according to the NPC, was “prepared in response to a request from the Secretary of Energy to provide advice on the potential contribution of natural gas in meeting the nation’s future economic, energy and environmental goals.”  The study analyzed supply and delivery systems and their ability to manage growing demand.  NAGC cites a number of conclusions that the NPC reached in its Report and compares that with actual experience.  For example, the Report apparently projected increases in natural gas drilling at a particular level for the 1999-2000 time period, and actual increases in drilling were greater.  The Report projected an average production weighted U.S. wellhead gas price through 2010 of approximately $2.74 per million Btu’s.  But, as NAGC notes, the prices have rapidly escalated beyond the NPC projection.  Yet, in spite of the discrepancies between this Report and the ultimate developments in the industry, and the special purpose for which it was prepared, the NAGC would use the benchmark price of $2.74/MMBtu from the Report as a proxy for some kind of national rate case for the wellhead price of all gas produced and sold in the United States.  It is impossible to imagine any legal justification to support the Commission’s selecting an arbitrary price cap for natural gas sales for resale under any exercise of jurisdiction that might be invoked to set such a cap, and particularly not under the typical “just and reasonable” standard that informs essentially all of the Commission’s rate-setting activities.  If the Commission had the requisite authority and were to set prices for first sales of natural gas, then we would expect an on-the-record proceeding to be the basis for such an endeavor, with opportunity for all parties to present evidence and challenge the evidence presented by others.  The notion of a report such as the NPC Report submitted by NAGC being used to set prices without undergoing any of the procedural and substantive tests that would be part of an NGA proceeding is beyond imagination. </w:t>
      </w:r>
    </w:p>
    <w:p>
      <w:pPr>
        <w:pStyle w:val="BodyTextIndent"/>
        <w:numPr>
          <w:ilvl w:val="0"/>
          <w:numId w:val="1"/>
        </w:numPr>
        <w:ind w:hanging="0" w:start="360" w:end="0"/>
        <w:jc w:val="start"/>
        <w:rPr>
          <w:u w:val="single"/>
        </w:rPr>
      </w:pPr>
      <w:r>
        <w:rPr>
          <w:u w:val="single"/>
        </w:rPr>
        <w:t xml:space="preserve">Reliance on the San Diego Gas And Electric Case is Inapt </w:t>
      </w:r>
    </w:p>
    <w:p>
      <w:pPr>
        <w:pStyle w:val="BodyTextIndent"/>
        <w:ind w:firstLine="360" w:end="0"/>
        <w:rPr/>
      </w:pPr>
      <w:r>
        <w:rPr/>
        <w:t xml:space="preserve">NAGC relies on the Commission’s Dec. 15, 2000 Order in </w:t>
      </w:r>
      <w:r>
        <w:rPr>
          <w:i/>
        </w:rPr>
        <w:t>San Diego Gas &amp; Electric</w:t>
      </w:r>
      <w:r>
        <w:rPr/>
        <w:t>, et al, 93 FERC ¶61,294, to support its request.  In that order, the Commission adopted several measures designed to “help alleviate the extreme high prices being borne by Californians, but also to ensure that sellers continue to have incentives to sell into California and sufficient incentives to build sorely needed new generation and transmission necessary to provide reliable service into the future.”  (</w:t>
      </w:r>
      <w:r>
        <w:rPr>
          <w:i/>
        </w:rPr>
        <w:t>Slip op.</w:t>
      </w:r>
      <w:r>
        <w:rPr/>
        <w:t xml:space="preserve"> at 3.)  While NAGC argues that a similar crisis exists in the nation’s gas markets and that relief in the form of price caps is required, in reality NAGC is asking the Commission to replicate the market conditions that led to the California crisis of shortages and high prices to begin with, to wit, artificial price caps that discourage development of new energy sources and lead to shortages and even higher prices as scarce resources are dispatched to those who value them most.</w:t>
      </w:r>
    </w:p>
    <w:p>
      <w:pPr>
        <w:pStyle w:val="Normal"/>
        <w:spacing w:lineRule="auto" w:line="480"/>
        <w:ind w:firstLine="720" w:end="0"/>
        <w:jc w:val="both"/>
        <w:rPr/>
      </w:pPr>
      <w:r>
        <w:rPr/>
        <w:t>There are enormous differences between the California electric crisis and the “national” gas problems described by NAGC.  First, there is a severe shortage of generating capacity in California, while there is no such shortage of natural gas supplies.  In California, the utilities sell power to their customers under a rate cap but are purchasing power in the market at prices significantly in excess of that cap.  Because the California utilities are operating under a state-mandated rate freeze, there is no established way for the utilities to collect these underrecoveries, nor is there any way for the utilities to pass through real-time price signals to California electric retail customers.  The NAGC gas utilities have not argued that they labor under similar burdens, i.e., the inability to pass on increased gas costs to their retail customers.  While they may be in the unpleasant position of having to pass substantial price increases on to their retail customers, they have had the option of buying fixed priced gas or entering into hedging arrangements that would have mitigated the risk of price increases.  If they did not or could not avail themselves of these market tools, then the appropriate reaction is to redirect regulatory or corporate policy to adopt hedging and price risk strategies, not to cap the price of the commodity itself.  Finally, the California market structure mandated that investor-owned utilities sell all of their generation into, and buy all their generation from, the California Power Exchange.  This led to an almost exclusive reliance on the spot market and precluded the use of bilateral long-term contracting as a means of mitigating price risk.  The gas market, on the other hand, has no mandatory clearinghouse, and there are a plethora of counterparties and contracting options available to gas consumers to assume or lay off as much risk of price movement and supply availability as they wish.</w:t>
      </w:r>
    </w:p>
    <w:p>
      <w:pPr>
        <w:pStyle w:val="Normal"/>
        <w:spacing w:lineRule="auto" w:line="480"/>
        <w:ind w:firstLine="720" w:end="0"/>
        <w:jc w:val="both"/>
        <w:rPr/>
      </w:pPr>
      <w:r>
        <w:rPr/>
        <w:t xml:space="preserve">It is basic economic theory – and the natural gas commodity market, which has been a laboratory for every kind of price regulation conceivable, bears this out – that allowing the market to set prices allows supply and demand to stay in balance.  When the price of wholesale gas sales was set by the Federal Power Commission under the Natural Gas Act, and later the Natural Gas Policy Act, the marketplace saw shortages.  Shortages were then addressed by raising prices.  Rising prices caused oversupplies that led to economic downturns in the producing sector and reduced levels of replaced reserves and more shortages.  In the regulatory scenario, these problems took years to fix.  </w:t>
      </w:r>
    </w:p>
    <w:p>
      <w:pPr>
        <w:pStyle w:val="Normal"/>
        <w:spacing w:lineRule="auto" w:line="480"/>
        <w:ind w:firstLine="720" w:end="0"/>
        <w:jc w:val="both"/>
        <w:rPr/>
      </w:pPr>
      <w:r>
        <w:rPr/>
        <w:t xml:space="preserve">While a deregulated market will still see fluctuations of this sort, as price signals are transmitted to the producers, middlemen and consumers on a real-time basis, the producing and consuming sectors are free to take corrective action immediately, rendering gluts and shortages with their resulting price spikes and drops, short-lived and less extreme overall.  To the extent natural gas consumers do not see the immediate impact of price changes due to the lag in purchased gas adjustment provisions in their rates, this is a problem that deserves rectification.  Imposing artificial price caps is not the solution.  </w:t>
      </w:r>
    </w:p>
    <w:p>
      <w:pPr>
        <w:pStyle w:val="BodyTextIndent"/>
        <w:keepNext w:val="true"/>
        <w:spacing w:lineRule="auto" w:line="240"/>
        <w:ind w:hanging="0" w:start="720" w:end="0"/>
        <w:rPr>
          <w:u w:val="single"/>
        </w:rPr>
      </w:pPr>
      <w:r>
        <w:rPr>
          <w:u w:val="single"/>
        </w:rPr>
        <w:t>C.  The Commission’s Limited Ability to Regulate Sales of Natural Gas By Pipeline and LDC Affiliates Should Not Be Invoked in this Case.</w:t>
      </w:r>
    </w:p>
    <w:p>
      <w:pPr>
        <w:pStyle w:val="BodyTextIndent"/>
        <w:keepNext w:val="true"/>
        <w:spacing w:lineRule="auto" w:line="240"/>
        <w:ind w:hanging="0" w:start="720" w:end="0"/>
        <w:rPr/>
      </w:pPr>
      <w:r>
        <w:rPr/>
      </w:r>
    </w:p>
    <w:p>
      <w:pPr>
        <w:pStyle w:val="BodyTextIndent"/>
        <w:rPr/>
      </w:pPr>
      <w:r>
        <w:rPr/>
        <w:t>We mentioned in the beginning of this reply that the Commission retains limited jurisdiction over certain sales for resale in interstate commerce.</w:t>
      </w:r>
      <w:r>
        <w:rPr>
          <w:rStyle w:val="FootnoteCharacters"/>
          <w:rStyle w:val="FootnoteReference"/>
        </w:rPr>
        <w:footnoteReference w:id="3"/>
      </w:r>
      <w:r>
        <w:rPr/>
        <w:t xml:space="preserve">  That jurisdiction is found in Section 601(a)(1)(A) of the NGPA, which deals with sales of gas for resale by companies who are interstate pipelines, intrastate pipelines, local distribution companies or affiliates thereof (see Section 2(21) of the NGPA defining the term “first sale.”)  Sales for resale by these entities are not deemed to be first sales and are not removed from the Commission’s jurisdiction as such, although sales by pipeline affiliates are authorized to be made at market rates pursuant to blanket certificates issued under Order No. 636 (</w:t>
      </w:r>
      <w:r>
        <w:rPr>
          <w:i/>
        </w:rPr>
        <w:t>FERC Stat. &amp; Reg.</w:t>
      </w:r>
      <w:r>
        <w:rPr/>
        <w:t xml:space="preserve"> ¶ 30,939 (1992)).  </w:t>
      </w:r>
    </w:p>
    <w:p>
      <w:pPr>
        <w:pStyle w:val="BodyTextIndent"/>
        <w:rPr/>
      </w:pPr>
      <w:r>
        <w:rPr/>
        <w:t xml:space="preserve">If a benchmark price (or price cap) is to be imposed, the Commission only has jurisdiction to apply it to the sales for resale made by interstate or intrastate pipelines, local distribution companies, or their affiliates.  The logical outcome of such action, as long as the demand is there, would be that other merchants not hampered by this ceiling will come in and offer to pay higher prices to the producers for gas, and the producers will readily sell to these entities.  Capping the prices that a discrete segment of the wholesale market may pay only hurts those participants laboring under the cap.  Others remain free to contract for supplies at market prices.  All this solution would do is to limit the number of competitors out contracting for wholesale supplies, which could make matters worse.  </w:t>
      </w:r>
    </w:p>
    <w:p>
      <w:pPr>
        <w:pStyle w:val="BodyTextIndent"/>
        <w:rPr/>
      </w:pPr>
      <w:r>
        <w:rPr/>
        <w:t>Price caps in the wholesale market also create incentives to contract around those price limitations.  Parties can avoid Commission jurisdiction by making retail sales directly or by keeping gas “in state” to avoid federal jurisdiction.  Thus, imposing price caps on non-first sellers under the Natural Gas Act leads to restricted competition and circumvention of regulation.  It offers no solution to higher market prices.  The solution to higher prices is found in allowing market participants to see real time pricing signals and to offer those participants the opportunity to contract to avoid or assume price risk, according to their individual situation.</w:t>
      </w:r>
    </w:p>
    <w:p>
      <w:pPr>
        <w:pStyle w:val="BodyTextIndent"/>
        <w:jc w:val="center"/>
        <w:rPr/>
      </w:pPr>
      <w:r>
        <w:rPr/>
        <w:t>IV.</w:t>
      </w:r>
    </w:p>
    <w:p>
      <w:pPr>
        <w:pStyle w:val="BodyTextIndent"/>
        <w:rPr/>
      </w:pPr>
      <w:r>
        <w:rPr/>
        <w:t xml:space="preserve">WHEREFORE, in light of the discussion above, Enron maintains that the NAGC complaint is fatally flawed in several respects: the Commission lacks jurisdiction to provide the relief requested; the complaint fails to establish a basis for Commission action; and the relief requested, adoption of a benchmark price of $2.74 per MMBtu for sales for resale of natural gas, is inconsistent with the provisions of the Natural Gas Act and the Natural Gas Policy Act.  Accordingly, Enron respectfully requests that the Commission reject the Complaint filed by NAGC.  </w:t>
      </w:r>
    </w:p>
    <w:p>
      <w:pPr>
        <w:pStyle w:val="BodyTextIndent"/>
        <w:ind w:hanging="0" w:end="0"/>
        <w:rPr/>
      </w:pPr>
      <w:r>
        <w:rPr/>
      </w:r>
    </w:p>
    <w:p>
      <w:pPr>
        <w:pStyle w:val="BodyTextIndent"/>
        <w:ind w:hanging="0" w:end="0"/>
        <w:rPr/>
      </w:pPr>
      <w:r>
        <w:rPr/>
        <w:t>Dated:  March 1, 2001</w:t>
        <w:tab/>
        <w:tab/>
        <w:tab/>
        <w:t>Respectfully submitted,</w:t>
      </w:r>
    </w:p>
    <w:p>
      <w:pPr>
        <w:pStyle w:val="BodyTextIndent"/>
        <w:ind w:hanging="0" w:end="0"/>
        <w:rPr/>
      </w:pPr>
      <w:r>
        <w:rPr/>
      </w:r>
    </w:p>
    <w:p>
      <w:pPr>
        <w:pStyle w:val="BodyTextIndent"/>
        <w:ind w:hanging="0" w:end="0"/>
        <w:rPr/>
      </w:pPr>
      <w:r>
        <w:rPr/>
        <w:tab/>
        <w:tab/>
        <w:tab/>
        <w:tab/>
        <w:tab/>
        <w:tab/>
      </w:r>
    </w:p>
    <w:p>
      <w:pPr>
        <w:pStyle w:val="BodyTextIndent"/>
        <w:rPr/>
      </w:pPr>
      <w:r>
        <w:rPr/>
      </w:r>
    </w:p>
    <w:sectPr>
      <w:headerReference w:type="default" r:id="rId4"/>
      <w:headerReference w:type="first" r:id="rId5"/>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jc w:val="both"/>
        <w:rPr/>
      </w:pPr>
      <w:r>
        <w:rPr>
          <w:rStyle w:val="FootnoteCharacters"/>
        </w:rPr>
        <w:footnoteRef/>
      </w:r>
      <w:r>
        <w:rPr/>
        <w:t xml:space="preserve"> </w:t>
      </w:r>
      <w:r>
        <w:rPr/>
        <w:t xml:space="preserve">NGPA sections 601(b)(1)(C) through (E) provide for limited exceptions to the “just and reasonable” finding for sales by intrastate pipelines, authorized assignments and sales between any interstate pipeline and its affiliate.  The exceptions are narrow and in today’s market do not have any significance, as few, if any, sales fall under these sections, and the prices paid are deemed just and reasonable if approved by the Commission as fair and equitable or are not in excess of prices paid on comparable sales between non-affiliated parties.  </w:t>
      </w:r>
    </w:p>
    <w:p>
      <w:pPr>
        <w:pStyle w:val="FootnoteText"/>
        <w:rPr/>
      </w:pPr>
      <w:r>
        <w:rPr/>
      </w:r>
    </w:p>
  </w:footnote>
  <w:footnote w:id="3">
    <w:p>
      <w:pPr>
        <w:pStyle w:val="FootnoteText"/>
        <w:rPr/>
      </w:pPr>
      <w:r>
        <w:rPr>
          <w:rStyle w:val="FootnoteCharacters"/>
        </w:rPr>
        <w:footnoteRef/>
      </w:r>
      <w:r>
        <w:rPr/>
        <w:t xml:space="preserve"> </w:t>
      </w:r>
      <w:r>
        <w:rPr/>
        <w:t xml:space="preserve">We have addressed this issue in an earlier filing in San Diego Gas &amp; Electric (Comments of Enron Corp. on Request for Emergency Relief of San Diego Gas &amp; Electric Company, Docket No. RP01-180-000, filed on December 13, 2000).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8"/>
      </w:rPr>
    </w:pPr>
    <w:r>
      <w:rPr>
        <w:b/>
        <w:sz w:val="28"/>
      </w:rPr>
      <w:t>SECOND DRAFT</w:t>
    </w:r>
  </w:p>
  <w:p>
    <w:pPr>
      <w:pStyle w:val="Header"/>
      <w:rPr>
        <w:b/>
      </w:rPr>
    </w:pPr>
    <w:r>
      <w:rPr>
        <w:b/>
      </w:rPr>
      <w:t>2-27-01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upperLetter"/>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FootnoteText">
    <w:name w:val="footnote text"/>
    <w:basedOn w:val="Normal"/>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antre@ect.enron.com" TargetMode="External"/><Relationship Id="rId3" Type="http://schemas.openxmlformats.org/officeDocument/2006/relationships/hyperlink" Target="mailto:bcantre@ect.enron.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2001-02-27T15:57:00Z</dcterms:created>
  <dc:creator>llawner</dc:creator>
  <dc:description/>
  <dc:language>en-CA</dc:language>
  <cp:lastModifiedBy>bcantre</cp:lastModifiedBy>
  <cp:lastPrinted>2001-02-07T17:48:00Z</cp:lastPrinted>
  <dcterms:modified xsi:type="dcterms:W3CDTF">2001-02-27T15:57:00Z</dcterms:modified>
  <cp:revision>2</cp:revision>
  <dc:subject/>
  <dc:title>BEFORE THE UNITED STATES OF AMERICA</dc:title>
</cp:coreProperties>
</file>