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AVAILABLE FIRM CAPACITY ON TRANSWESTERN</w:t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/>
      </w:pPr>
      <w:r>
        <w:rPr/>
      </w:r>
    </w:p>
    <w:p>
      <w:pPr>
        <w:pStyle w:val="BodyText"/>
        <w:rPr/>
      </w:pPr>
      <w:r>
        <w:rPr/>
        <w:t>In accordance with Rate Schedule FTS-1 of Transwestern’s FERC Gas Tariff, the following capacity will be available on a firm basis beginning January 1, 2002:</w:t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>
          <w:b/>
          <w:bCs/>
        </w:rPr>
      </w:pPr>
      <w:r>
        <w:rPr>
          <w:b/>
          <w:bCs/>
        </w:rPr>
        <w:t xml:space="preserve">Volume:                             </w:t>
      </w:r>
      <w:r>
        <w:rPr/>
        <w:t>30,000 Dth/day</w:t>
      </w:r>
    </w:p>
    <w:p>
      <w:pPr>
        <w:pStyle w:val="Normal"/>
        <w:ind w:end="-360"/>
        <w:rPr>
          <w:b/>
          <w:bCs/>
        </w:rPr>
      </w:pPr>
      <w:r>
        <w:rPr>
          <w:b/>
          <w:bCs/>
        </w:rPr>
      </w:r>
    </w:p>
    <w:p>
      <w:pPr>
        <w:pStyle w:val="Normal"/>
        <w:ind w:end="-360"/>
        <w:rPr/>
      </w:pPr>
      <w:r>
        <w:rPr>
          <w:b/>
          <w:bCs/>
        </w:rPr>
        <w:t xml:space="preserve">Receipt Points:  </w:t>
      </w:r>
      <w:r>
        <w:rPr/>
        <w:t xml:space="preserve">                Northwest Pipeline (POI 500533), WFS Ignacio Plant (POI </w:t>
      </w:r>
    </w:p>
    <w:p>
      <w:pPr>
        <w:pStyle w:val="Normal"/>
        <w:ind w:end="-360"/>
        <w:rPr/>
      </w:pPr>
      <w:r>
        <w:rPr/>
        <w:t xml:space="preserve">                                            </w:t>
      </w:r>
      <w:r>
        <w:rPr/>
        <w:t xml:space="preserve">500535), Amoco Florida Plant (POI 500536) or any POI’s </w:t>
      </w:r>
    </w:p>
    <w:p>
      <w:pPr>
        <w:pStyle w:val="Normal"/>
        <w:ind w:end="-360"/>
        <w:rPr/>
      </w:pPr>
      <w:r>
        <w:rPr/>
        <w:t xml:space="preserve">                                            </w:t>
      </w:r>
      <w:r>
        <w:rPr/>
        <w:t xml:space="preserve">south of the LaPlata A Compressor.  All POI’s subject to  </w:t>
      </w:r>
    </w:p>
    <w:p>
      <w:pPr>
        <w:pStyle w:val="Normal"/>
        <w:ind w:end="-360"/>
        <w:rPr/>
      </w:pPr>
      <w:r>
        <w:rPr/>
        <w:t xml:space="preserve">                                            </w:t>
      </w:r>
      <w:r>
        <w:rPr/>
        <w:t xml:space="preserve">available capacity     </w:t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/>
      </w:pPr>
      <w:r>
        <w:rPr>
          <w:b/>
          <w:bCs/>
        </w:rPr>
        <w:t xml:space="preserve">Delivery Points:                </w:t>
      </w:r>
      <w:r>
        <w:rPr/>
        <w:t xml:space="preserve">El Paso Blanco (POI 500540), TW I/B Link (POI 500545)                                                                                                                                                    </w:t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/>
      </w:pPr>
      <w:r>
        <w:rPr>
          <w:b/>
          <w:bCs/>
        </w:rPr>
        <w:t xml:space="preserve">Maximum Rate:                </w:t>
      </w:r>
      <w:r>
        <w:rPr/>
        <w:t xml:space="preserve">$.1020/Dth reservation rate plus applicable commodity rate     </w:t>
      </w:r>
    </w:p>
    <w:p>
      <w:pPr>
        <w:pStyle w:val="Normal"/>
        <w:ind w:end="-360"/>
        <w:rPr/>
      </w:pPr>
      <w:r>
        <w:rPr/>
        <w:t xml:space="preserve">                                             </w:t>
      </w:r>
      <w:r>
        <w:rPr/>
        <w:t>and surcharges</w:t>
      </w:r>
    </w:p>
    <w:p>
      <w:pPr>
        <w:pStyle w:val="Normal"/>
        <w:ind w:end="-360"/>
        <w:rPr>
          <w:b/>
          <w:bCs/>
        </w:rPr>
      </w:pPr>
      <w:r>
        <w:rPr>
          <w:b/>
          <w:bCs/>
        </w:rPr>
      </w:r>
    </w:p>
    <w:p>
      <w:pPr>
        <w:pStyle w:val="Normal"/>
        <w:ind w:end="-360"/>
        <w:rPr/>
      </w:pPr>
      <w:r>
        <w:rPr>
          <w:b/>
          <w:bCs/>
        </w:rPr>
        <w:t>Fuel:</w:t>
      </w:r>
      <w:r>
        <w:rPr/>
        <w:t xml:space="preserve">                                    .25%</w:t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/>
      </w:pPr>
      <w:r>
        <w:rPr/>
        <w:t>Contingency bids will not be accepted.  The method for bid evaluation will be the highest rate.  Capacity will be allocated pursuant to Rate Schedule FTS-1, Section 13, of Transwestern’s FERC Gas Tariff.  This capacity is subject to the “right to match” provisions of the Right of First Refusal procedures of Rate Schedule FTS-1.</w:t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/>
      </w:pPr>
      <w:r>
        <w:rPr/>
        <w:t xml:space="preserve">Binding Bids must be submitted in accordance with the requirements of Rate Schedule </w:t>
      </w:r>
    </w:p>
    <w:p>
      <w:pPr>
        <w:pStyle w:val="Normal"/>
        <w:ind w:end="-360"/>
        <w:rPr/>
      </w:pPr>
      <w:r>
        <w:rPr/>
        <w:t xml:space="preserve">FTS-1, Section 13 by 5:00 p.m. CCT on August 14, 2001 to T. K. Lohman, P.O. Box 1188, Houston, TX 77251-1188, facsimile (713) 646-8000, email </w:t>
      </w:r>
      <w:hyperlink r:id="rId2">
        <w:r>
          <w:rPr>
            <w:rStyle w:val="Hyperlink"/>
          </w:rPr>
          <w:t>tk.lohman@enron.com</w:t>
        </w:r>
      </w:hyperlink>
      <w:r>
        <w:rPr/>
        <w:t>.  Please contact T. K. Lohman with any questions at @ (713) 853-7610.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360"/>
      <w:outlineLvl w:val="0"/>
    </w:pPr>
    <w:rPr>
      <w:b/>
      <w:bCs/>
      <w:sz w:val="3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360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k.lohman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2001-06-29T17:17:00Z</dcterms:created>
  <dc:creator>tlohman</dc:creator>
  <dc:description/>
  <dc:language>en-CA</dc:language>
  <cp:lastModifiedBy>tlohman</cp:lastModifiedBy>
  <dcterms:modified xsi:type="dcterms:W3CDTF">2001-06-29T18:02:00Z</dcterms:modified>
  <cp:revision>4</cp:revision>
  <dc:subject/>
  <dc:title/>
</cp:coreProperties>
</file>