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rPr>
      </w:pPr>
      <w:r>
        <w:rPr>
          <w:b/>
        </w:rPr>
        <w:t>RAFI KHAN</w:t>
      </w:r>
    </w:p>
    <w:p>
      <w:pPr>
        <w:pStyle w:val="Normal"/>
        <w:jc w:val="center"/>
        <w:rPr>
          <w:b/>
          <w:sz w:val="24"/>
        </w:rPr>
      </w:pPr>
      <w:r>
        <w:rPr>
          <w:b/>
          <w:sz w:val="24"/>
        </w:rPr>
        <w:t xml:space="preserve">19019 PINEWOOD GLEN, </w:t>
      </w:r>
    </w:p>
    <w:p>
      <w:pPr>
        <w:pStyle w:val="Normal"/>
        <w:jc w:val="center"/>
        <w:rPr>
          <w:b/>
          <w:sz w:val="24"/>
        </w:rPr>
      </w:pPr>
      <w:r>
        <w:rPr>
          <w:b/>
          <w:sz w:val="24"/>
        </w:rPr>
        <w:t>SPRING, TX-77388</w:t>
      </w:r>
    </w:p>
    <w:p>
      <w:pPr>
        <w:pStyle w:val="Normal"/>
        <w:jc w:val="center"/>
        <w:rPr>
          <w:b/>
          <w:sz w:val="22"/>
        </w:rPr>
      </w:pPr>
      <w:r>
        <w:rPr>
          <w:b/>
          <w:sz w:val="24"/>
        </w:rPr>
        <w:t>Tel (713) 646 6559 (work), (281) 355-8109 (residence)</w:t>
      </w:r>
    </w:p>
    <w:p>
      <w:pPr>
        <w:pStyle w:val="Heading7"/>
        <w:ind w:hanging="0" w:start="0"/>
        <w:rPr>
          <w:b w:val="false"/>
          <w:sz w:val="22"/>
        </w:rPr>
      </w:pPr>
      <w:r>
        <w:rPr>
          <w:b w:val="false"/>
          <w:sz w:val="22"/>
        </w:rPr>
      </w:r>
    </w:p>
    <w:p>
      <w:pPr>
        <w:pStyle w:val="Heading7"/>
        <w:ind w:hanging="0" w:start="0"/>
        <w:rPr>
          <w:u w:val="single"/>
        </w:rPr>
      </w:pPr>
      <w:r>
        <w:rPr>
          <w:u w:val="single"/>
        </w:rPr>
        <w:t>EXPERIENCE</w:t>
      </w:r>
    </w:p>
    <w:p>
      <w:pPr>
        <w:pStyle w:val="Normal"/>
        <w:rPr>
          <w:u w:val="single"/>
        </w:rPr>
      </w:pPr>
      <w:r>
        <w:rPr>
          <w:u w:val="single"/>
        </w:rPr>
      </w:r>
    </w:p>
    <w:p>
      <w:pPr>
        <w:pStyle w:val="Heading7"/>
        <w:ind w:hanging="0" w:start="0"/>
        <w:jc w:val="both"/>
        <w:rPr/>
      </w:pPr>
      <w:r>
        <w:rPr/>
        <w:t>General Manager-Project Development – Enron India &amp; Enron Middle East - May 98 to Present</w:t>
      </w:r>
    </w:p>
    <w:p>
      <w:pPr>
        <w:pStyle w:val="Normal"/>
        <w:jc w:val="both"/>
        <w:rPr/>
      </w:pPr>
      <w:r>
        <w:rPr/>
      </w:r>
    </w:p>
    <w:p>
      <w:pPr>
        <w:pStyle w:val="Normal"/>
        <w:numPr>
          <w:ilvl w:val="0"/>
          <w:numId w:val="19"/>
        </w:numPr>
        <w:jc w:val="both"/>
        <w:rPr/>
      </w:pPr>
      <w:r>
        <w:rPr/>
        <w:t xml:space="preserve">Responsible for Regional business origination in infrastructure projects.  Oversee various aspects of deal making process, including strategic business and financial analysis, due diligence, negotiating and closing projects. Help develop long-standing relationships with senior management within customer groups. </w:t>
      </w:r>
    </w:p>
    <w:p>
      <w:pPr>
        <w:pStyle w:val="Normal"/>
        <w:numPr>
          <w:ilvl w:val="0"/>
          <w:numId w:val="6"/>
        </w:numPr>
        <w:jc w:val="both"/>
        <w:rPr/>
      </w:pPr>
      <w:r>
        <w:rPr/>
        <w:t>Prepare and present detailed project proposals to customers for power, pipeline and other infrastructure projects. Responsibilities include formulating strategic business plans, demonstrating Enron’s operating and management experience, accessing capital for the project on a non-recourse project finance basis, negotiating joint development agreement with potential partners, and assessing and mitigating operational, political and regulatory risks.</w:t>
      </w:r>
    </w:p>
    <w:p>
      <w:pPr>
        <w:pStyle w:val="Normal"/>
        <w:jc w:val="both"/>
        <w:rPr/>
      </w:pPr>
      <w:r>
        <w:rPr/>
      </w:r>
    </w:p>
    <w:p>
      <w:pPr>
        <w:pStyle w:val="Normal"/>
        <w:ind w:start="360" w:end="0"/>
        <w:jc w:val="both"/>
        <w:rPr>
          <w:u w:val="single"/>
        </w:rPr>
      </w:pPr>
      <w:r>
        <w:rPr>
          <w:u w:val="single"/>
        </w:rPr>
        <w:t>Major Transactions</w:t>
      </w:r>
    </w:p>
    <w:p>
      <w:pPr>
        <w:pStyle w:val="Normal"/>
        <w:ind w:start="360" w:end="0"/>
        <w:jc w:val="both"/>
        <w:rPr/>
      </w:pPr>
      <w:r>
        <w:rPr/>
      </w:r>
    </w:p>
    <w:p>
      <w:pPr>
        <w:pStyle w:val="Normal"/>
        <w:numPr>
          <w:ilvl w:val="0"/>
          <w:numId w:val="12"/>
        </w:numPr>
        <w:tabs>
          <w:tab w:val="left" w:pos="720" w:leader="none"/>
        </w:tabs>
        <w:ind w:hanging="360" w:start="720" w:end="0"/>
        <w:jc w:val="both"/>
        <w:rPr/>
      </w:pPr>
      <w:r>
        <w:rPr/>
        <w:t>Team lead for Project Atlantis, a $200 MM upstream project in the UAE. Responsibilities include negotiation of project agreements, procuring financing on a limited recourse basis, overseeing financing modeling and structuring the project to achieve business, legal and tax objectives.</w:t>
      </w:r>
    </w:p>
    <w:p>
      <w:pPr>
        <w:pStyle w:val="Normal"/>
        <w:numPr>
          <w:ilvl w:val="0"/>
          <w:numId w:val="12"/>
        </w:numPr>
        <w:tabs>
          <w:tab w:val="left" w:pos="720" w:leader="none"/>
        </w:tabs>
        <w:ind w:hanging="360" w:start="720" w:end="0"/>
        <w:jc w:val="both"/>
        <w:rPr/>
      </w:pPr>
      <w:r>
        <w:rPr/>
        <w:t>Provided project structuring and analytical support to Enron negotiating team for Project Dolphin. Enron, along with Total Fina and Offsets Group, is an investor in this $2 billion initiative to bring natural gas from Qatar to markets in the UAE.</w:t>
      </w:r>
    </w:p>
    <w:p>
      <w:pPr>
        <w:pStyle w:val="Normal"/>
        <w:numPr>
          <w:ilvl w:val="0"/>
          <w:numId w:val="12"/>
        </w:numPr>
        <w:tabs>
          <w:tab w:val="left" w:pos="720" w:leader="none"/>
        </w:tabs>
        <w:ind w:hanging="360" w:start="720" w:end="0"/>
        <w:jc w:val="both"/>
        <w:rPr/>
      </w:pPr>
      <w:r>
        <w:rPr/>
        <w:t>Co-lead on Ennore power project, India – 2000 MW power plant with a Liquefied Natural gas (LNG) terminal. Responsible for reviewing financial models, commercial and risk analysis and overall project management, including presentations to senior management.</w:t>
      </w:r>
    </w:p>
    <w:p>
      <w:pPr>
        <w:pStyle w:val="Normal"/>
        <w:ind w:start="360" w:end="0"/>
        <w:jc w:val="both"/>
        <w:rPr/>
      </w:pPr>
      <w:r>
        <w:rPr/>
        <w:tab/>
      </w:r>
    </w:p>
    <w:p>
      <w:pPr>
        <w:pStyle w:val="Heading7"/>
        <w:ind w:hanging="0" w:start="0"/>
        <w:jc w:val="both"/>
        <w:rPr/>
      </w:pPr>
      <w:r>
        <w:rPr/>
        <w:t>General Manager – Risk Management/Structuring  - Enron International - August 97 to May 98</w:t>
      </w:r>
    </w:p>
    <w:p>
      <w:pPr>
        <w:pStyle w:val="Normal"/>
        <w:jc w:val="both"/>
        <w:rPr/>
      </w:pPr>
      <w:r>
        <w:rPr/>
      </w:r>
    </w:p>
    <w:p>
      <w:pPr>
        <w:pStyle w:val="Normal"/>
        <w:numPr>
          <w:ilvl w:val="0"/>
          <w:numId w:val="16"/>
        </w:numPr>
        <w:jc w:val="both"/>
        <w:rPr/>
      </w:pPr>
      <w:r>
        <w:rPr/>
        <w:t>Financial and risk evaluation of business opportunities based on overall strategic fit with regional objectives and capabilities. Developed project structures to meet legal, tax and commercial objectives.</w:t>
      </w:r>
    </w:p>
    <w:p>
      <w:pPr>
        <w:pStyle w:val="Normal"/>
        <w:numPr>
          <w:ilvl w:val="0"/>
          <w:numId w:val="10"/>
        </w:numPr>
        <w:jc w:val="both"/>
        <w:rPr/>
      </w:pPr>
      <w:r>
        <w:rPr/>
        <w:t xml:space="preserve">Researched and formulated positions regarding recommended discount rates to be applied to pricing of transactions. </w:t>
      </w:r>
    </w:p>
    <w:p>
      <w:pPr>
        <w:pStyle w:val="Normal"/>
        <w:numPr>
          <w:ilvl w:val="0"/>
          <w:numId w:val="10"/>
        </w:numPr>
        <w:jc w:val="both"/>
        <w:rPr/>
      </w:pPr>
      <w:r>
        <w:rPr/>
        <w:t>Developed financial models to assess, price and manage political risks in Enron’s international portfolio.</w:t>
      </w:r>
    </w:p>
    <w:p>
      <w:pPr>
        <w:pStyle w:val="Normal"/>
        <w:jc w:val="both"/>
        <w:rPr/>
      </w:pPr>
      <w:r>
        <w:rPr/>
      </w:r>
    </w:p>
    <w:p>
      <w:pPr>
        <w:pStyle w:val="Normal"/>
        <w:ind w:start="360" w:end="0"/>
        <w:jc w:val="both"/>
        <w:rPr>
          <w:u w:val="single"/>
        </w:rPr>
      </w:pPr>
      <w:r>
        <w:rPr>
          <w:u w:val="single"/>
        </w:rPr>
        <w:t>Major Transactions</w:t>
      </w:r>
    </w:p>
    <w:p>
      <w:pPr>
        <w:pStyle w:val="Normal"/>
        <w:ind w:start="360" w:end="0"/>
        <w:jc w:val="both"/>
        <w:rPr/>
      </w:pPr>
      <w:r>
        <w:rPr/>
        <w:tab/>
        <w:tab/>
        <w:tab/>
        <w:tab/>
        <w:tab/>
        <w:tab/>
      </w:r>
    </w:p>
    <w:p>
      <w:pPr>
        <w:pStyle w:val="BodyTextIndent"/>
        <w:numPr>
          <w:ilvl w:val="0"/>
          <w:numId w:val="3"/>
        </w:numPr>
        <w:tabs>
          <w:tab w:val="left" w:pos="720" w:leader="none"/>
        </w:tabs>
        <w:ind w:hanging="360" w:start="720" w:end="0"/>
        <w:rPr/>
      </w:pPr>
      <w:r>
        <w:rPr/>
        <w:t>Financial lead in valuation of Enron International portfolio as part of potential acquisition by a major energy company. Provided analytical support to Enron negotiating team.</w:t>
      </w:r>
    </w:p>
    <w:p>
      <w:pPr>
        <w:pStyle w:val="Normal"/>
        <w:numPr>
          <w:ilvl w:val="0"/>
          <w:numId w:val="13"/>
        </w:numPr>
        <w:tabs>
          <w:tab w:val="clear" w:pos="720"/>
          <w:tab w:val="left" w:pos="750" w:leader="none"/>
        </w:tabs>
        <w:ind w:hanging="360" w:start="750" w:end="0"/>
        <w:jc w:val="both"/>
        <w:rPr/>
      </w:pPr>
      <w:r>
        <w:rPr/>
        <w:t>Instrumental in developing a political risk book based on strategic alliance with key insurance companies (e.g. Center Re, Exporters etc.) and OPIC in which political risk is priced and managed on a portfolio basis.</w:t>
      </w:r>
    </w:p>
    <w:p>
      <w:pPr>
        <w:pStyle w:val="Normal"/>
        <w:numPr>
          <w:ilvl w:val="0"/>
          <w:numId w:val="5"/>
        </w:numPr>
        <w:tabs>
          <w:tab w:val="left" w:pos="720" w:leader="none"/>
        </w:tabs>
        <w:ind w:hanging="360" w:start="720" w:end="0"/>
        <w:jc w:val="both"/>
        <w:rPr/>
      </w:pPr>
      <w:r>
        <w:rPr/>
        <w:t xml:space="preserve">Participated in a corporate wide initiative to assess sovereign, credit, interest rate, currency and political risks of Enron’s international portfolio. Quantified effects on cash flow and net income due to potential adverse changes in credit, interest rate and currency risks. </w:t>
      </w:r>
    </w:p>
    <w:p>
      <w:pPr>
        <w:pStyle w:val="Normal"/>
        <w:ind w:start="360" w:end="0"/>
        <w:jc w:val="both"/>
        <w:rPr/>
      </w:pPr>
      <w:r>
        <w:rPr/>
        <w:tab/>
        <w:tab/>
        <w:tab/>
        <w:tab/>
        <w:tab/>
        <w:tab/>
        <w:tab/>
        <w:tab/>
        <w:tab/>
      </w:r>
    </w:p>
    <w:p>
      <w:pPr>
        <w:pStyle w:val="Normal"/>
        <w:jc w:val="both"/>
        <w:rPr>
          <w:b/>
        </w:rPr>
      </w:pPr>
      <w:r>
        <w:rPr>
          <w:b/>
        </w:rPr>
        <w:t>Manager-Financial Analysis - Enron Global Power &amp; Pipelines L.L.C. (EPP) - Dec 96 to July 97</w:t>
      </w:r>
    </w:p>
    <w:p>
      <w:pPr>
        <w:pStyle w:val="Normal"/>
        <w:jc w:val="both"/>
        <w:rPr/>
      </w:pPr>
      <w:r>
        <w:rPr/>
      </w:r>
    </w:p>
    <w:p>
      <w:pPr>
        <w:pStyle w:val="Normal"/>
        <w:numPr>
          <w:ilvl w:val="0"/>
          <w:numId w:val="14"/>
        </w:numPr>
        <w:jc w:val="both"/>
        <w:rPr/>
      </w:pPr>
      <w:r>
        <w:rPr/>
        <w:t xml:space="preserve">Analyzed acquisitions of equity interests in projects in Pakistan and Colombia, which included in-depth evaluation of commercial, accounting, and tax issues. </w:t>
      </w:r>
    </w:p>
    <w:p>
      <w:pPr>
        <w:pStyle w:val="Normal"/>
        <w:numPr>
          <w:ilvl w:val="0"/>
          <w:numId w:val="15"/>
        </w:numPr>
        <w:jc w:val="both"/>
        <w:rPr/>
      </w:pPr>
      <w:r>
        <w:rPr/>
        <w:t>Interfaced with external financial advisors and investment bankers regarding EPP stock valuation and comparable industry analysis. EPP was a NYSE listed entity, 52% owned by Enron and 48% owned by third party investors.</w:t>
      </w:r>
    </w:p>
    <w:p>
      <w:pPr>
        <w:pStyle w:val="Heading9"/>
        <w:ind w:start="0" w:end="0"/>
        <w:rPr>
          <w:u w:val="none"/>
        </w:rPr>
      </w:pPr>
      <w:r>
        <w:rPr>
          <w:u w:val="none"/>
        </w:rPr>
      </w:r>
    </w:p>
    <w:p>
      <w:pPr>
        <w:pStyle w:val="Heading9"/>
        <w:ind w:firstLine="360" w:start="0" w:end="0"/>
        <w:rPr>
          <w:u w:val="none"/>
        </w:rPr>
      </w:pPr>
      <w:r>
        <w:rPr>
          <w:u w:val="none"/>
        </w:rPr>
      </w:r>
    </w:p>
    <w:p>
      <w:pPr>
        <w:pStyle w:val="Heading9"/>
        <w:ind w:firstLine="360" w:start="0" w:end="0"/>
        <w:rPr/>
      </w:pPr>
      <w:r>
        <w:rPr/>
        <w:t>Major Transactions</w:t>
      </w:r>
    </w:p>
    <w:p>
      <w:pPr>
        <w:pStyle w:val="Normal"/>
        <w:rPr/>
      </w:pPr>
      <w:r>
        <w:rPr/>
      </w:r>
    </w:p>
    <w:p>
      <w:pPr>
        <w:pStyle w:val="Normal"/>
        <w:numPr>
          <w:ilvl w:val="0"/>
          <w:numId w:val="4"/>
        </w:numPr>
        <w:tabs>
          <w:tab w:val="left" w:pos="720" w:leader="none"/>
        </w:tabs>
        <w:ind w:hanging="360" w:start="720" w:end="0"/>
        <w:jc w:val="both"/>
        <w:rPr/>
      </w:pPr>
      <w:r>
        <w:rPr/>
        <w:t>Performed financial analysis of acquisition interests in Kohinoor power plant (Pakistan) and Promigas pipeline (Colombia).</w:t>
      </w:r>
    </w:p>
    <w:p>
      <w:pPr>
        <w:pStyle w:val="Normal"/>
        <w:numPr>
          <w:ilvl w:val="0"/>
          <w:numId w:val="7"/>
        </w:numPr>
        <w:tabs>
          <w:tab w:val="left" w:pos="720" w:leader="none"/>
        </w:tabs>
        <w:ind w:hanging="360" w:start="720" w:end="0"/>
        <w:jc w:val="both"/>
        <w:rPr/>
      </w:pPr>
      <w:r>
        <w:rPr/>
        <w:t>Designed a financial model to capture the inflation and devaluation effects of Colombian peso on net income of a Colombian gas pipeline. The model was subsequently used as a planning tool for assessing future hedging opportunities.</w:t>
      </w:r>
    </w:p>
    <w:p>
      <w:pPr>
        <w:pStyle w:val="Normal"/>
        <w:ind w:start="360" w:end="0"/>
        <w:jc w:val="both"/>
        <w:rPr/>
      </w:pPr>
      <w:r>
        <w:rPr/>
      </w:r>
    </w:p>
    <w:p>
      <w:pPr>
        <w:pStyle w:val="Normal"/>
        <w:jc w:val="both"/>
        <w:rPr>
          <w:b/>
        </w:rPr>
      </w:pPr>
      <w:r>
        <w:rPr>
          <w:b/>
        </w:rPr>
        <w:t>Manager-International Tax - Enron Development Corp. (EDC) - Jan 92 to Nov 96</w:t>
      </w:r>
    </w:p>
    <w:p>
      <w:pPr>
        <w:pStyle w:val="Normal"/>
        <w:jc w:val="both"/>
        <w:rPr>
          <w:b/>
        </w:rPr>
      </w:pPr>
      <w:r>
        <w:rPr>
          <w:b/>
        </w:rPr>
      </w:r>
    </w:p>
    <w:p>
      <w:pPr>
        <w:pStyle w:val="Normal"/>
        <w:numPr>
          <w:ilvl w:val="0"/>
          <w:numId w:val="11"/>
        </w:numPr>
        <w:jc w:val="both"/>
        <w:rPr/>
      </w:pPr>
      <w:r>
        <w:rPr/>
        <w:t xml:space="preserve">Domestic and foreign tax due diligence of Enron’s foreign projects in order to achieve foreign and domestic tax objectives and to minimize U.S. and foreign taxes. </w:t>
      </w:r>
    </w:p>
    <w:p>
      <w:pPr>
        <w:pStyle w:val="Normal"/>
        <w:numPr>
          <w:ilvl w:val="0"/>
          <w:numId w:val="9"/>
        </w:numPr>
        <w:jc w:val="both"/>
        <w:rPr/>
      </w:pPr>
      <w:r>
        <w:rPr/>
        <w:t xml:space="preserve">Entity structuring of foreign projects to achieve accounting, legal and tax objectives. </w:t>
      </w:r>
    </w:p>
    <w:p>
      <w:pPr>
        <w:pStyle w:val="Normal"/>
        <w:numPr>
          <w:ilvl w:val="0"/>
          <w:numId w:val="8"/>
        </w:numPr>
        <w:jc w:val="both"/>
        <w:rPr/>
      </w:pPr>
      <w:r>
        <w:rPr/>
        <w:t xml:space="preserve">Structured solutions to issues like trapped cash, reimbursement of development costs, and repatriation of development and promote fees. </w:t>
      </w:r>
    </w:p>
    <w:p>
      <w:pPr>
        <w:pStyle w:val="Normal"/>
        <w:numPr>
          <w:ilvl w:val="0"/>
          <w:numId w:val="8"/>
        </w:numPr>
        <w:jc w:val="both"/>
        <w:rPr/>
      </w:pPr>
      <w:r>
        <w:rPr/>
        <w:t xml:space="preserve">Economic modeling (including sensitivity analysis) of project’s U.S. and local taxes, associated foreign tax credits and the effects of taxes on Project NPV and IRR.  </w:t>
      </w:r>
    </w:p>
    <w:p>
      <w:pPr>
        <w:pStyle w:val="Normal"/>
        <w:ind w:start="360" w:end="0"/>
        <w:jc w:val="both"/>
        <w:rPr/>
      </w:pPr>
      <w:r>
        <w:rPr/>
      </w:r>
    </w:p>
    <w:p>
      <w:pPr>
        <w:pStyle w:val="Heading9"/>
        <w:rPr/>
      </w:pPr>
      <w:r>
        <w:rPr/>
        <w:t>Major Transactions</w:t>
      </w:r>
    </w:p>
    <w:p>
      <w:pPr>
        <w:pStyle w:val="Normal"/>
        <w:rPr/>
      </w:pPr>
      <w:r>
        <w:rPr/>
      </w:r>
    </w:p>
    <w:p>
      <w:pPr>
        <w:pStyle w:val="BodyTextIndent"/>
        <w:numPr>
          <w:ilvl w:val="0"/>
          <w:numId w:val="17"/>
        </w:numPr>
        <w:tabs>
          <w:tab w:val="left" w:pos="720" w:leader="none"/>
        </w:tabs>
        <w:ind w:hanging="360" w:start="720" w:end="0"/>
        <w:rPr/>
      </w:pPr>
      <w:r>
        <w:rPr/>
        <w:t>Developed a tax efficient structure to defer U.S. income tax under Subpart F of the Internal Revenue Code in conjunction with a potential acquisition of a power plant in Pakistan. The structure was later used in several other acquisitive transactions.</w:t>
      </w:r>
    </w:p>
    <w:p>
      <w:pPr>
        <w:pStyle w:val="Normal"/>
        <w:numPr>
          <w:ilvl w:val="0"/>
          <w:numId w:val="18"/>
        </w:numPr>
        <w:tabs>
          <w:tab w:val="clear" w:pos="720"/>
          <w:tab w:val="left" w:pos="389" w:leader="none"/>
          <w:tab w:val="left" w:pos="750" w:leader="none"/>
        </w:tabs>
        <w:ind w:hanging="360" w:start="750" w:end="0"/>
        <w:jc w:val="both"/>
        <w:rPr/>
      </w:pPr>
      <w:r>
        <w:rPr/>
        <w:t>Worked on structuring and implementing a transaction whereby $100 MM of foreign dividends were repatriated on a tax free basis to the U.S. Computed allocation of interest expense to foreign sourced income and the associated foreign tax credit calculations. Successfully defended the transaction on audit.</w:t>
      </w:r>
    </w:p>
    <w:p>
      <w:pPr>
        <w:pStyle w:val="Heading7"/>
        <w:ind w:hanging="0" w:start="0"/>
        <w:jc w:val="both"/>
        <w:rPr>
          <w:u w:val="single"/>
        </w:rPr>
      </w:pPr>
      <w:r>
        <w:rPr>
          <w:u w:val="single"/>
        </w:rPr>
      </w:r>
    </w:p>
    <w:p>
      <w:pPr>
        <w:pStyle w:val="Heading7"/>
        <w:ind w:hanging="0" w:start="0"/>
        <w:jc w:val="both"/>
        <w:rPr>
          <w:u w:val="single"/>
        </w:rPr>
      </w:pPr>
      <w:r>
        <w:rPr>
          <w:u w:val="single"/>
        </w:rPr>
        <w:t>EDUCATION</w:t>
      </w:r>
    </w:p>
    <w:p>
      <w:pPr>
        <w:pStyle w:val="Normal"/>
        <w:jc w:val="both"/>
        <w:rPr>
          <w:u w:val="single"/>
        </w:rPr>
      </w:pPr>
      <w:r>
        <w:rPr>
          <w:u w:val="single"/>
        </w:rPr>
      </w:r>
    </w:p>
    <w:p>
      <w:pPr>
        <w:pStyle w:val="Normal"/>
        <w:numPr>
          <w:ilvl w:val="0"/>
          <w:numId w:val="2"/>
        </w:numPr>
        <w:jc w:val="both"/>
        <w:rPr/>
      </w:pPr>
      <w:r>
        <w:rPr/>
        <w:t xml:space="preserve">JD- South Texas College of Law, Houston, TX - Magna Cum Laude (Top 5%) </w:t>
      </w:r>
    </w:p>
    <w:p>
      <w:pPr>
        <w:pStyle w:val="Normal"/>
        <w:numPr>
          <w:ilvl w:val="0"/>
          <w:numId w:val="2"/>
        </w:numPr>
        <w:jc w:val="both"/>
        <w:rPr/>
      </w:pPr>
      <w:r>
        <w:rPr/>
        <w:t>MS in Accountancy, University of Houston - GPA - 3.9/4.0  - Dean’s Academic Excellence</w:t>
      </w:r>
    </w:p>
    <w:p>
      <w:pPr>
        <w:pStyle w:val="Normal"/>
        <w:numPr>
          <w:ilvl w:val="0"/>
          <w:numId w:val="2"/>
        </w:numPr>
        <w:jc w:val="both"/>
        <w:rPr/>
      </w:pPr>
      <w:r>
        <w:rPr/>
        <w:t>MBA - Finance, University of Houston, GPA–3.7/4.0-Dean’s Academic Excellence</w:t>
      </w:r>
    </w:p>
    <w:p>
      <w:pPr>
        <w:pStyle w:val="Normal"/>
        <w:jc w:val="both"/>
        <w:rPr/>
      </w:pPr>
      <w:r>
        <w:rPr/>
      </w:r>
    </w:p>
    <w:p>
      <w:pPr>
        <w:pStyle w:val="Heading8"/>
        <w:ind w:hanging="0" w:start="0"/>
        <w:rPr/>
      </w:pPr>
      <w:r>
        <w:rPr/>
        <w:t>PROFESSIONAL AFFILIATION</w:t>
      </w:r>
    </w:p>
    <w:p>
      <w:pPr>
        <w:pStyle w:val="Normal"/>
        <w:jc w:val="both"/>
        <w:rPr>
          <w:b/>
        </w:rPr>
      </w:pPr>
      <w:r>
        <w:rPr>
          <w:b/>
        </w:rPr>
      </w:r>
    </w:p>
    <w:p>
      <w:pPr>
        <w:pStyle w:val="Normal"/>
        <w:jc w:val="both"/>
        <w:rPr/>
      </w:pPr>
      <w:r>
        <w:rPr/>
        <w:t xml:space="preserve">Certified Public Accountant </w:t>
      </w:r>
    </w:p>
    <w:p>
      <w:pPr>
        <w:pStyle w:val="Normal"/>
        <w:jc w:val="both"/>
        <w:rPr/>
      </w:pPr>
      <w:r>
        <w:rPr/>
      </w:r>
    </w:p>
    <w:p>
      <w:pPr>
        <w:pStyle w:val="Heading7"/>
        <w:ind w:hanging="0" w:start="0"/>
        <w:jc w:val="both"/>
        <w:rPr>
          <w:u w:val="single"/>
        </w:rPr>
      </w:pPr>
      <w:r>
        <w:rPr>
          <w:u w:val="single"/>
        </w:rPr>
        <w:t>COMPUTER SKILLS</w:t>
      </w:r>
    </w:p>
    <w:p>
      <w:pPr>
        <w:pStyle w:val="Normal"/>
        <w:jc w:val="both"/>
        <w:rPr>
          <w:u w:val="single"/>
        </w:rPr>
      </w:pPr>
      <w:r>
        <w:rPr>
          <w:u w:val="single"/>
        </w:rPr>
      </w:r>
    </w:p>
    <w:p>
      <w:pPr>
        <w:pStyle w:val="Normal"/>
        <w:jc w:val="both"/>
        <w:rPr/>
      </w:pPr>
      <w:r>
        <w:rPr/>
        <w:t>Advanced spreadsheet skills in Excel. Programming in dbase IV, Oracle, Visual Basic.</w:t>
      </w:r>
    </w:p>
    <w:p>
      <w:pPr>
        <w:pStyle w:val="Normal"/>
        <w:jc w:val="both"/>
        <w:rPr/>
      </w:pPr>
      <w:r>
        <w:rPr/>
        <w:t>Working knowledge of Hyperion and CorpTax systems</w:t>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sz w:val="24"/>
      <w:u w:val="single"/>
    </w:rPr>
  </w:style>
  <w:style w:type="paragraph" w:styleId="Heading4">
    <w:name w:val="heading 4"/>
    <w:basedOn w:val="Normal"/>
    <w:next w:val="Normal"/>
    <w:qFormat/>
    <w:pPr>
      <w:keepNext w:val="true"/>
      <w:numPr>
        <w:ilvl w:val="3"/>
        <w:numId w:val="1"/>
      </w:numPr>
      <w:outlineLvl w:val="3"/>
    </w:pPr>
    <w:rPr>
      <w:b/>
      <w:sz w:val="21"/>
    </w:rPr>
  </w:style>
  <w:style w:type="paragraph" w:styleId="Heading5">
    <w:name w:val="heading 5"/>
    <w:basedOn w:val="Normal"/>
    <w:next w:val="Normal"/>
    <w:qFormat/>
    <w:pPr>
      <w:keepNext w:val="true"/>
      <w:numPr>
        <w:ilvl w:val="4"/>
        <w:numId w:val="1"/>
      </w:numPr>
      <w:jc w:val="both"/>
      <w:outlineLvl w:val="4"/>
    </w:pPr>
    <w:rPr>
      <w:sz w:val="24"/>
    </w:rPr>
  </w:style>
  <w:style w:type="paragraph" w:styleId="Heading6">
    <w:name w:val="heading 6"/>
    <w:basedOn w:val="Normal"/>
    <w:next w:val="Normal"/>
    <w:qFormat/>
    <w:pPr>
      <w:keepNext w:val="true"/>
      <w:numPr>
        <w:ilvl w:val="5"/>
        <w:numId w:val="1"/>
      </w:numPr>
      <w:jc w:val="both"/>
      <w:outlineLvl w:val="5"/>
    </w:pPr>
    <w:rPr>
      <w:b/>
      <w:sz w:val="21"/>
    </w:rPr>
  </w:style>
  <w:style w:type="paragraph" w:styleId="Heading7">
    <w:name w:val="heading 7"/>
    <w:basedOn w:val="Normal"/>
    <w:next w:val="Normal"/>
    <w:qFormat/>
    <w:pPr>
      <w:keepNext w:val="true"/>
      <w:numPr>
        <w:ilvl w:val="6"/>
        <w:numId w:val="1"/>
      </w:numPr>
      <w:outlineLvl w:val="6"/>
    </w:pPr>
    <w:rPr>
      <w:b/>
    </w:rPr>
  </w:style>
  <w:style w:type="paragraph" w:styleId="Heading8">
    <w:name w:val="heading 8"/>
    <w:basedOn w:val="Normal"/>
    <w:next w:val="Normal"/>
    <w:qFormat/>
    <w:pPr>
      <w:keepNext w:val="true"/>
      <w:numPr>
        <w:ilvl w:val="7"/>
        <w:numId w:val="1"/>
      </w:numPr>
      <w:jc w:val="both"/>
      <w:outlineLvl w:val="7"/>
    </w:pPr>
    <w:rPr>
      <w:b/>
    </w:rPr>
  </w:style>
  <w:style w:type="paragraph" w:styleId="Heading9">
    <w:name w:val="heading 9"/>
    <w:basedOn w:val="Normal"/>
    <w:next w:val="Normal"/>
    <w:qFormat/>
    <w:pPr>
      <w:keepNext w:val="true"/>
      <w:numPr>
        <w:ilvl w:val="8"/>
        <w:numId w:val="1"/>
      </w:numPr>
      <w:ind w:hanging="0" w:start="360" w:end="0"/>
      <w:jc w:val="both"/>
      <w:outlineLvl w:val="8"/>
    </w:pPr>
    <w:rPr>
      <w:u w:val="single"/>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sz w:val="16"/>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2000-08-09T15:48:00Z</dcterms:created>
  <dc:creator>rafik</dc:creator>
  <dc:description/>
  <dc:language>en-CA</dc:language>
  <cp:lastModifiedBy>prieker</cp:lastModifiedBy>
  <cp:lastPrinted>2000-08-08T18:59:00Z</cp:lastPrinted>
  <dcterms:modified xsi:type="dcterms:W3CDTF">2000-08-09T15:48:00Z</dcterms:modified>
  <cp:revision>2</cp:revision>
  <dc:subject/>
  <dc:title>RAFI U</dc:title>
</cp:coreProperties>
</file>