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0" w:leader="none"/>
        </w:tabs>
        <w:rPr>
          <w:sz w:val="48"/>
        </w:rPr>
      </w:pPr>
      <w:r>
        <w:rPr>
          <w:sz w:val="48"/>
        </w:rPr>
        <w:drawing>
          <wp:inline distT="0" distB="0" distL="0" distR="0">
            <wp:extent cx="995680" cy="10058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1005840"/>
                    </a:xfrm>
                    <a:prstGeom prst="rect">
                      <a:avLst/>
                    </a:prstGeom>
                    <a:noFill/>
                  </pic:spPr>
                </pic:pic>
              </a:graphicData>
            </a:graphic>
          </wp:inline>
        </w:drawing>
      </w:r>
    </w:p>
    <w:p>
      <w:pPr>
        <w:pStyle w:val="Normal"/>
        <w:tabs>
          <w:tab w:val="clear" w:pos="720"/>
          <w:tab w:val="left" w:pos="7200" w:leader="none"/>
        </w:tabs>
        <w:jc w:val="end"/>
        <w:rPr>
          <w:sz w:val="18"/>
        </w:rPr>
      </w:pPr>
      <w:r>
        <w:rPr>
          <w:sz w:val="18"/>
        </w:rPr>
      </w:r>
    </w:p>
    <w:p>
      <w:pPr>
        <w:pStyle w:val="Normal"/>
        <w:tabs>
          <w:tab w:val="clear" w:pos="720"/>
          <w:tab w:val="left" w:pos="7200" w:leader="none"/>
        </w:tabs>
        <w:jc w:val="end"/>
        <w:rPr>
          <w:b/>
        </w:rPr>
      </w:pPr>
      <w:r>
        <w:rPr>
          <w:b/>
        </w:rPr>
        <w:t>PRIVILEGED ANDCONFIDENTIAL</w:t>
      </w:r>
    </w:p>
    <w:p>
      <w:pPr>
        <w:pStyle w:val="Normal"/>
        <w:tabs>
          <w:tab w:val="clear" w:pos="720"/>
          <w:tab w:val="left" w:pos="5490" w:leader="none"/>
        </w:tabs>
        <w:jc w:val="end"/>
        <w:rPr/>
      </w:pPr>
      <w:r>
        <w:rPr>
          <w:sz w:val="48"/>
        </w:rPr>
        <w:tab/>
      </w:r>
      <w:r>
        <w:rPr>
          <w:b/>
        </w:rPr>
        <w:t>ATTORNEY WORK PRODUCT</w:t>
      </w:r>
    </w:p>
    <w:p>
      <w:pPr>
        <w:pStyle w:val="Normal"/>
        <w:pBdr>
          <w:top w:val="single" w:sz="12" w:space="1" w:color="000000"/>
        </w:pBdr>
        <w:tabs>
          <w:tab w:val="clear" w:pos="720"/>
          <w:tab w:val="left" w:pos="1530" w:leader="none"/>
          <w:tab w:val="right" w:pos="9000" w:leader="none"/>
        </w:tabs>
        <w:spacing w:before="120" w:after="0"/>
        <w:ind w:end="-90"/>
        <w:jc w:val="both"/>
        <w:rPr/>
      </w:pPr>
      <w:r>
        <w:rPr>
          <w:b/>
        </w:rPr>
        <w:t>TO:</w:t>
      </w:r>
      <w:r>
        <w:rPr/>
        <w:tab/>
        <w:t>Mark Haedicke</w:t>
        <w:tab/>
      </w:r>
      <w:r>
        <w:rPr>
          <w:b/>
        </w:rPr>
        <w:t xml:space="preserve">DATE:  </w:t>
      </w:r>
      <w:r>
        <w:rPr/>
        <w:t>February 5, 2001</w:t>
        <w:br/>
        <w:tab/>
        <w:t>Lance Schuler</w:t>
      </w:r>
    </w:p>
    <w:p>
      <w:pPr>
        <w:pStyle w:val="Normal"/>
        <w:pBdr>
          <w:top w:val="single" w:sz="12" w:space="1" w:color="000000"/>
        </w:pBdr>
        <w:tabs>
          <w:tab w:val="clear" w:pos="720"/>
          <w:tab w:val="left" w:pos="1530" w:leader="none"/>
          <w:tab w:val="right" w:pos="9000" w:leader="none"/>
        </w:tabs>
        <w:spacing w:before="120" w:after="0"/>
        <w:ind w:end="-90"/>
        <w:jc w:val="both"/>
        <w:rPr/>
      </w:pPr>
      <w:r>
        <w:rPr>
          <w:b/>
        </w:rPr>
        <w:t>FROM:</w:t>
      </w:r>
      <w:r>
        <w:rPr/>
        <w:tab/>
        <w:t>Jim Grace</w:t>
        <w:tab/>
      </w:r>
      <w:r>
        <w:rPr>
          <w:b/>
        </w:rPr>
        <w:t xml:space="preserve">DEPARTMENT:  </w:t>
      </w:r>
      <w:r>
        <w:rPr/>
        <w:t>ENA</w:t>
      </w:r>
      <w:r>
        <w:rPr>
          <w:b/>
        </w:rPr>
        <w:t xml:space="preserve"> </w:t>
      </w:r>
      <w:r>
        <w:rPr/>
        <w:t>Legal</w:t>
      </w:r>
    </w:p>
    <w:p>
      <w:pPr>
        <w:pStyle w:val="Normal"/>
        <w:pBdr>
          <w:bottom w:val="single" w:sz="12" w:space="1" w:color="000000"/>
        </w:pBdr>
        <w:tabs>
          <w:tab w:val="left" w:pos="720" w:leader="none"/>
          <w:tab w:val="left" w:pos="1530" w:leader="none"/>
          <w:tab w:val="left" w:pos="5040" w:leader="none"/>
          <w:tab w:val="left" w:pos="6480" w:leader="none"/>
        </w:tabs>
        <w:spacing w:before="120" w:after="0"/>
        <w:ind w:hanging="1530" w:start="1530" w:end="0"/>
        <w:jc w:val="both"/>
        <w:rPr/>
      </w:pPr>
      <w:r>
        <w:rPr>
          <w:b/>
        </w:rPr>
        <w:t>SUBJECT:</w:t>
      </w:r>
      <w:r>
        <w:rPr/>
        <w:tab/>
        <w:t>Acquisition of Webmodal, Inc. by Enron Global Markets, LLC (“EGM”)</w:t>
      </w:r>
    </w:p>
    <w:p>
      <w:pPr>
        <w:pStyle w:val="Normal"/>
        <w:pBdr>
          <w:bottom w:val="single" w:sz="12" w:space="1" w:color="000000"/>
        </w:pBdr>
        <w:tabs>
          <w:tab w:val="left" w:pos="720" w:leader="none"/>
          <w:tab w:val="left" w:pos="1530" w:leader="none"/>
          <w:tab w:val="left" w:pos="2160" w:leader="none"/>
          <w:tab w:val="left" w:pos="5040" w:leader="none"/>
          <w:tab w:val="left" w:pos="6480" w:leader="none"/>
        </w:tabs>
        <w:spacing w:before="120" w:after="0"/>
        <w:ind w:hanging="1530" w:start="1530" w:end="0"/>
        <w:jc w:val="both"/>
        <w:rPr/>
      </w:pPr>
      <w:r>
        <w:rPr>
          <w:b/>
        </w:rPr>
        <w:t>RISK FACTOR:</w:t>
      </w:r>
      <w:r>
        <w:rPr/>
        <w:tab/>
        <w:t>2</w:t>
      </w:r>
    </w:p>
    <w:p>
      <w:pPr>
        <w:pStyle w:val="Heading1"/>
        <w:ind w:hanging="0" w:start="0"/>
        <w:jc w:val="both"/>
        <w:rPr/>
      </w:pPr>
      <w:r>
        <w:rPr/>
      </w:r>
    </w:p>
    <w:p>
      <w:pPr>
        <w:pStyle w:val="Heading1"/>
        <w:ind w:hanging="0" w:start="0"/>
        <w:jc w:val="both"/>
        <w:rPr/>
      </w:pPr>
      <w:r>
        <w:rPr/>
        <w:t>Facts</w:t>
      </w:r>
    </w:p>
    <w:p>
      <w:pPr>
        <w:pStyle w:val="Normal"/>
        <w:numPr>
          <w:ilvl w:val="0"/>
          <w:numId w:val="3"/>
        </w:numPr>
        <w:tabs>
          <w:tab w:val="clear" w:pos="720"/>
        </w:tabs>
        <w:spacing w:before="0" w:after="120"/>
        <w:ind w:hanging="360" w:start="360" w:end="0"/>
        <w:jc w:val="both"/>
        <w:rPr/>
      </w:pPr>
      <w:r>
        <w:rPr/>
        <w:t>EGM proposes to acquire Webmodal by merging a newly formed, wholly owned subsidiary with Webmodal.  Webmodal will be the surviving corporation of the merger.</w:t>
      </w:r>
    </w:p>
    <w:p>
      <w:pPr>
        <w:pStyle w:val="Normal"/>
        <w:numPr>
          <w:ilvl w:val="0"/>
          <w:numId w:val="3"/>
        </w:numPr>
        <w:tabs>
          <w:tab w:val="clear" w:pos="720"/>
        </w:tabs>
        <w:spacing w:before="0" w:after="120"/>
        <w:ind w:hanging="360" w:start="360" w:end="0"/>
        <w:jc w:val="both"/>
        <w:rPr/>
      </w:pPr>
      <w:r>
        <w:rPr/>
        <w:t>The acquisition is structured as a merger because of the uncertain enforceability of the drag-along rights possessed by Webmodal’s two largest stockholders, Chris Kravas, Webmodal’s founder and CEO, and Stonepath Group, Inc., a venture capital firm.  On a fully diluted basis, Mr. Kravas and Stonepath own 35% and 25%, respectively, of Webmodal’s common stock.</w:t>
      </w:r>
    </w:p>
    <w:p>
      <w:pPr>
        <w:pStyle w:val="Normal"/>
        <w:numPr>
          <w:ilvl w:val="0"/>
          <w:numId w:val="3"/>
        </w:numPr>
        <w:tabs>
          <w:tab w:val="clear" w:pos="720"/>
        </w:tabs>
        <w:spacing w:before="0" w:after="120"/>
        <w:ind w:hanging="360" w:start="360" w:end="0"/>
        <w:jc w:val="both"/>
        <w:rPr/>
      </w:pPr>
      <w:r>
        <w:rPr/>
        <w:t>The purchase price for this transaction shall be $12,000,000, of which $2,000,000 shall be placed in escrow and distributed to Mr. Kravas in equal amounts over the next three years on the anniversaries of the closing of the merger.</w:t>
      </w:r>
    </w:p>
    <w:p>
      <w:pPr>
        <w:pStyle w:val="Normal"/>
        <w:numPr>
          <w:ilvl w:val="0"/>
          <w:numId w:val="3"/>
        </w:numPr>
        <w:tabs>
          <w:tab w:val="clear" w:pos="720"/>
        </w:tabs>
        <w:spacing w:before="0" w:after="120"/>
        <w:ind w:hanging="360" w:start="360" w:end="0"/>
        <w:jc w:val="both"/>
        <w:rPr/>
      </w:pPr>
      <w:r>
        <w:rPr/>
        <w:t>Mr. Kravas shall indemnify EGM for any breach of the representations and warranties concerning Webmodal’s performance and condition.  However, this indemnity is limited in the following manner: (1) Mr. Kravas’ representations and warranties survive for only one year; (2) EGM may not make an indemnity claim unless the value of the claim is more than $7,500; (3) Mr. Kravas is liable for no claim unless the total value of claims asserted against him exceeds $300,000; (4) once this basket has been filled, Mr. Kravas is only liable for claims in excess of such $300,000; and (5) Mr. Kravas total liability is limited to the lesser of $2,000,000 and the then current value of the portion of the purchase price placed in escrow.</w:t>
      </w:r>
    </w:p>
    <w:p>
      <w:pPr>
        <w:pStyle w:val="Normal"/>
        <w:numPr>
          <w:ilvl w:val="0"/>
          <w:numId w:val="3"/>
        </w:numPr>
        <w:tabs>
          <w:tab w:val="clear" w:pos="720"/>
        </w:tabs>
        <w:spacing w:before="0" w:after="120"/>
        <w:ind w:hanging="360" w:start="360" w:end="0"/>
        <w:jc w:val="both"/>
        <w:rPr/>
      </w:pPr>
      <w:r>
        <w:rPr/>
        <w:t>The closing of the merger is contingent on the approval of Webmodal’s stockholders.  Mr. Kravas and Stonepath have granted EGM proxies to vote their shares in favor of the merger.</w:t>
      </w:r>
    </w:p>
    <w:p>
      <w:pPr>
        <w:pStyle w:val="Normal"/>
        <w:numPr>
          <w:ilvl w:val="0"/>
          <w:numId w:val="3"/>
        </w:numPr>
        <w:tabs>
          <w:tab w:val="clear" w:pos="720"/>
        </w:tabs>
        <w:spacing w:before="0" w:after="120"/>
        <w:ind w:hanging="360" w:start="360" w:end="0"/>
        <w:jc w:val="both"/>
        <w:rPr/>
      </w:pPr>
      <w:r>
        <w:rPr/>
        <w:t xml:space="preserve">The closing of the merger is also contingent on Mr. Kravas and several other officers of Webmodal signing employment agreements with Enron. </w:t>
      </w:r>
    </w:p>
    <w:p>
      <w:pPr>
        <w:pStyle w:val="Heading1"/>
        <w:spacing w:before="120" w:after="120"/>
        <w:ind w:hanging="0" w:start="0"/>
        <w:jc w:val="both"/>
        <w:rPr/>
      </w:pPr>
      <w:r>
        <w:rPr/>
        <w:t>Risks</w:t>
      </w:r>
    </w:p>
    <w:p>
      <w:pPr>
        <w:pStyle w:val="Normal"/>
        <w:numPr>
          <w:ilvl w:val="0"/>
          <w:numId w:val="2"/>
        </w:numPr>
        <w:tabs>
          <w:tab w:val="clear" w:pos="720"/>
        </w:tabs>
        <w:spacing w:before="120" w:after="0"/>
        <w:ind w:hanging="360" w:start="360" w:end="0"/>
        <w:jc w:val="both"/>
        <w:rPr/>
      </w:pPr>
      <w:r>
        <w:rPr>
          <w:b/>
          <w:bCs/>
        </w:rPr>
        <w:t>Mr. Kravas is the only stockholder making representations and warranties concerning Webmodal’s performance and condition, and any indemnity claim for a breach of these representations and warranties is subject to the above-described limitations.</w:t>
      </w:r>
      <w:r>
        <w:rPr/>
        <w:t xml:space="preserve">  Moreover, EGM does not have the right to terminate Kravas’ employment agreement upon a breach of his representations and warranties.  Such a breach is not a “For Cause” termination event under the Kravas employment agreement. </w:t>
      </w:r>
    </w:p>
    <w:p>
      <w:pPr>
        <w:pStyle w:val="BodyTextIndent2"/>
        <w:rPr/>
      </w:pPr>
      <w:r>
        <w:rPr/>
        <w:t>EGM mitigated this risk through due diligence.  It is worth noting that the refusal of the other Webmodal stockholders to make representations and warranties concerning Webmodal’s performance and condition is typical given the relationship of these stockholders to Webmodal.  Generally, unless stockholders have had an active role in the operation and management of a company, they do not give representations and warranties concerning that company’s performance and condition when the company is sold.  With regard to Webmodal, Stonepath is a venture capital firm and the remainders consist of independent, small-stake seed investors and vendors who accepted equity in lieu of payment.  None of these stockholders operated or managed Webmodal in any way.</w:t>
      </w:r>
    </w:p>
    <w:p>
      <w:pPr>
        <w:pStyle w:val="Normal"/>
        <w:numPr>
          <w:ilvl w:val="0"/>
          <w:numId w:val="2"/>
        </w:numPr>
        <w:tabs>
          <w:tab w:val="clear" w:pos="720"/>
        </w:tabs>
        <w:spacing w:before="120" w:after="0"/>
        <w:ind w:hanging="360" w:start="360" w:end="0"/>
        <w:jc w:val="both"/>
        <w:rPr/>
      </w:pPr>
      <w:r>
        <w:rPr>
          <w:b/>
          <w:bCs/>
        </w:rPr>
        <w:t>Webmodal suffers a material adverse effect between the signing and closing of the merger agreement.</w:t>
      </w:r>
      <w:r>
        <w:rPr/>
        <w:t xml:space="preserve">  EGM mitigated this risk by securing the unilateral right to terminate the merger agreement if such an effect occurs.</w:t>
      </w:r>
    </w:p>
    <w:p>
      <w:pPr>
        <w:pStyle w:val="Normal"/>
        <w:numPr>
          <w:ilvl w:val="0"/>
          <w:numId w:val="2"/>
        </w:numPr>
        <w:tabs>
          <w:tab w:val="clear" w:pos="720"/>
        </w:tabs>
        <w:spacing w:before="120" w:after="120"/>
        <w:ind w:hanging="360" w:start="360" w:end="0"/>
        <w:jc w:val="both"/>
        <w:rPr/>
      </w:pPr>
      <w:r>
        <w:rPr>
          <w:b/>
          <w:bCs/>
        </w:rPr>
        <w:t>Webmodal stockholders exercise their appraisal rights.</w:t>
      </w:r>
      <w:r>
        <w:rPr/>
        <w:t xml:space="preserve">  The likelihood that this risk will occur is increased by the fact that more than 25 of the stockholders are non-insiders over whom EGM has no control and little influence.  These independent stockholders purchased Webmodal’s common stock for $8.26 per share but will receive only $6.16 per share in the merger.  Given the fact that the approval of the merger is certain, since Mr. Kravas and Stonepath together own sufficient shares to ensure that the statutorily required number of shares are voted in favor of the merger, and the fact that Stonepath is receiving $8.88 per share, some of these independent stockholders could determine that it is in their best interest to pursue their appraisal rights or file a breach of fiduciary duty lawsuit.</w:t>
      </w:r>
    </w:p>
    <w:p>
      <w:pPr>
        <w:pStyle w:val="BodyTextIndent"/>
        <w:spacing w:before="120" w:after="0"/>
        <w:ind w:hanging="0" w:start="360" w:end="0"/>
        <w:rPr/>
      </w:pPr>
      <w:r>
        <w:rPr/>
        <w:t>EGM mitigated the risk that stockholders may exercise their appraisal rights by making it a closing condition that at least [98%] of the outstanding common stock votes in favor of the merger.  Additionally, there are a couple practical factors that may dissuade stockholders from exercising their appraisal rights.  First, the difference between $8.88 per share received by Stonepath and the $6.16 per share received by the independent stockholders represents a liquidation preference to which Stonepath is entitled due to its ownership of preferred stock of Webmodal.  Second, Mr. Kravas, the largest stockholder and founder of the company is receiving only $4.22 per share for his common stock.  In any event, even if 3% of the outstanding common stock were to exercise their appraisal rights, EGM and the surviving corporation’s liability exposure would be limited since, under the valuation used in the merger, the total value of 3% of Webmodal common stock is $360,000.</w:t>
      </w:r>
    </w:p>
    <w:p>
      <w:pPr>
        <w:pStyle w:val="BodyText"/>
        <w:rPr/>
      </w:pPr>
      <w:r>
        <w:rPr/>
      </w:r>
    </w:p>
    <w:p>
      <w:pPr>
        <w:pStyle w:val="BodyText"/>
        <w:rPr/>
      </w:pPr>
      <w:r>
        <w:rPr/>
      </w:r>
    </w:p>
    <w:p>
      <w:pPr>
        <w:pStyle w:val="BodyText"/>
        <w:rPr/>
      </w:pPr>
      <w:r>
        <w:rPr/>
        <w:t>cc:</w:t>
        <w:tab/>
        <w:t>Michael McConnell</w:t>
      </w:r>
    </w:p>
    <w:p>
      <w:pPr>
        <w:pStyle w:val="BodyText"/>
        <w:rPr/>
      </w:pPr>
      <w:r>
        <w:rPr/>
        <w:tab/>
        <w:t>Tim Detmering</w:t>
      </w:r>
    </w:p>
    <w:p>
      <w:pPr>
        <w:pStyle w:val="BodyText"/>
        <w:rPr/>
      </w:pPr>
      <w:r>
        <w:rPr/>
        <w:tab/>
        <w:t>Dan Reck</w:t>
      </w:r>
    </w:p>
    <w:p>
      <w:pPr>
        <w:pStyle w:val="BodyText"/>
        <w:rPr/>
      </w:pPr>
      <w:r>
        <w:rPr/>
        <w:tab/>
        <w:t>Patrick Conner</w:t>
      </w:r>
    </w:p>
    <w:sectPr>
      <w:headerReference w:type="default" r:id="rId3"/>
      <w:headerReference w:type="first" r:id="rId4"/>
      <w:footerReference w:type="default" r:id="rId5"/>
      <w:footerReference w:type="first" r:id="rId6"/>
      <w:type w:val="nextPage"/>
      <w:pgSz w:w="12240" w:h="15840"/>
      <w:pgMar w:left="1440" w:right="1440" w:gutter="0" w:header="576" w:top="1152" w:footer="432"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/mnt/main-storage/datasets/enron-docs/doc/risk_memo_2.doc</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5580" w:leader="none"/>
      </w:tabs>
      <w:rPr>
        <w:sz w:val="20"/>
      </w:rPr>
    </w:pPr>
    <w:r>
      <w:rPr>
        <w:sz w:val="20"/>
      </w:rPr>
      <w:t>Mark Haedicke</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7716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77165" cy="177165"/>
                      </a:xfrm>
                      <a:prstGeom prst="rect"/>
                      <a:solidFill>
                        <a:srgbClr val="FFFFFF">
                          <a:alpha val="0"/>
                        </a:srgbClr>
                      </a:solidFill>
                    </wps:spPr>
                    <wps:txbx>
                      <w:txbxContent>
                        <w:p>
                          <w:pPr>
                            <w:pStyle w:val="Head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3.95pt;height:13.95pt;mso-wrap-distance-left:0pt;mso-wrap-distance-right:0pt;mso-wrap-distance-top:0pt;mso-wrap-distance-bottom:0pt;margin-top:0.05pt;mso-position-vertical-relative:text;margin-left:227.05pt;mso-position-horizontal:center;mso-position-horizontal-relative:margin">
              <v:fill opacity="0f"/>
              <v:textbox inset="0in,0in,0in,0in">
                <w:txbxContent>
                  <w:p>
                    <w:pPr>
                      <w:pStyle w:val="Head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txbxContent>
              </v:textbox>
              <w10:wrap type="square"/>
            </v:rect>
          </w:pict>
        </mc:Fallback>
      </mc:AlternateContent>
    </w:r>
  </w:p>
  <w:p>
    <w:pPr>
      <w:pStyle w:val="Header"/>
      <w:tabs>
        <w:tab w:val="clear" w:pos="8640"/>
        <w:tab w:val="center" w:pos="4320" w:leader="none"/>
        <w:tab w:val="right" w:pos="5580" w:leader="none"/>
      </w:tabs>
      <w:rPr>
        <w:sz w:val="20"/>
      </w:rPr>
    </w:pPr>
    <w:r>
      <w:rPr>
        <w:sz w:val="20"/>
      </w:rPr>
      <w:t>Lance Schuler</w:t>
    </w:r>
  </w:p>
  <w:p>
    <w:pPr>
      <w:pStyle w:val="Header"/>
      <w:tabs>
        <w:tab w:val="clear" w:pos="8640"/>
        <w:tab w:val="center" w:pos="4320" w:leader="none"/>
        <w:tab w:val="right" w:pos="5580" w:leader="none"/>
      </w:tabs>
      <w:rPr>
        <w:sz w:val="20"/>
      </w:rPr>
    </w:pPr>
    <w:r>
      <w:rPr>
        <w:sz w:val="20"/>
      </w:rPr>
      <w:t>February 5, 2001</w:t>
    </w:r>
  </w:p>
  <w:p>
    <w:pPr>
      <w:pStyle w:val="Header"/>
      <w:tabs>
        <w:tab w:val="clear" w:pos="8640"/>
        <w:tab w:val="center" w:pos="4320" w:leader="none"/>
        <w:tab w:val="right" w:pos="5580" w:leader="none"/>
      </w:tabs>
      <w:rPr>
        <w:sz w:val="20"/>
      </w:rPr>
    </w:pPr>
    <w:r>
      <w:rPr>
        <w:sz w:val="20"/>
      </w:rPr>
    </w:r>
  </w:p>
  <w:p>
    <w:pPr>
      <w:pStyle w:val="Header"/>
      <w:tabs>
        <w:tab w:val="clear" w:pos="8640"/>
        <w:tab w:val="center" w:pos="4320" w:leader="none"/>
        <w:tab w:val="right" w:pos="5580" w:leader="none"/>
      </w:tabs>
      <w:rPr/>
    </w:pPr>
    <w:r>
      <w:rPr/>
    </w:r>
  </w:p>
  <w:p>
    <w:pPr>
      <w:pStyle w:val="Header"/>
      <w:tabs>
        <w:tab w:val="clear" w:pos="8640"/>
        <w:tab w:val="center" w:pos="4320" w:leader="none"/>
        <w:tab w:val="right" w:pos="558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bCs/>
      <w:szCs w:val="24"/>
      <w:u w:val="single"/>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style>
  <w:style w:type="character" w:styleId="WW8Num4z0">
    <w:name w:val="WW8Num4z0"/>
    <w:qFormat/>
    <w:rPr/>
  </w:style>
  <w:style w:type="character" w:styleId="WW8Num5z0">
    <w:name w:val="WW8Num5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color w:val="0000FF"/>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530" w:leader="none"/>
        <w:tab w:val="left" w:pos="5040" w:leader="none"/>
        <w:tab w:val="left" w:pos="6480" w:leader="none"/>
      </w:tab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keepNext w:val="true"/>
      <w:tabs>
        <w:tab w:val="clear" w:pos="720"/>
        <w:tab w:val="right" w:pos="8640" w:leader="dot"/>
      </w:tabs>
      <w:spacing w:before="120" w:after="120"/>
      <w:jc w:val="center"/>
    </w:pPr>
    <w:rPr>
      <w:rFonts w:ascii="Times" w:hAnsi="Times" w:cs="Times"/>
      <w:b/>
    </w:rPr>
  </w:style>
  <w:style w:type="paragraph" w:styleId="TOC2">
    <w:name w:val="toc 2"/>
    <w:basedOn w:val="Normal"/>
    <w:next w:val="Normal"/>
    <w:pPr>
      <w:tabs>
        <w:tab w:val="clear" w:pos="720"/>
        <w:tab w:val="right" w:pos="8640" w:leader="dot"/>
      </w:tabs>
    </w:pPr>
    <w:rPr>
      <w:color w:val="00008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720" w:end="0"/>
      <w:jc w:val="both"/>
    </w:pPr>
    <w:rPr/>
  </w:style>
  <w:style w:type="paragraph" w:styleId="BodyTextIndent2">
    <w:name w:val="Body Text Indent 2"/>
    <w:basedOn w:val="Normal"/>
    <w:qFormat/>
    <w:pPr>
      <w:spacing w:before="120" w:after="0"/>
      <w:ind w:hanging="0" w:start="360" w:end="0"/>
      <w:jc w:val="both"/>
    </w:pPr>
    <w:rPr/>
  </w:style>
  <w:style w:type="paragraph" w:styleId="NormalIndent">
    <w:name w:val="Normal Indent"/>
    <w:basedOn w:val="Normal"/>
    <w:qFormat/>
    <w:pPr>
      <w:ind w:hanging="0" w:start="7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2001-02-05T17:27:00Z</dcterms:created>
  <dc:creator>ECT</dc:creator>
  <dc:description/>
  <dc:language>en-CA</dc:language>
  <cp:lastModifiedBy>dsnow</cp:lastModifiedBy>
  <cp:lastPrinted>2001-02-06T08:40:00Z</cp:lastPrinted>
  <dcterms:modified xsi:type="dcterms:W3CDTF">2001-02-06T12:16:00Z</dcterms:modified>
  <cp:revision>21</cp:revision>
  <dc:subject/>
  <dc:title> 	</dc:title>
</cp:coreProperties>
</file>