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To:</w:t>
        <w:tab/>
        <w:t>Enron Government Affairs Personnel</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From:</w:t>
        <w:tab/>
        <w:t>Regulatory Risk Analytics</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 xml:space="preserve">Re: </w:t>
        <w:tab/>
        <w:t xml:space="preserve">Regulatory Risk Review </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Date:</w:t>
        <w:tab/>
        <w:t>June 13, 2000</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Normal"/>
        <w:spacing w:lineRule="atLeast" w:line="240"/>
        <w:rPr/>
      </w:pPr>
      <w:r>
        <w:rPr>
          <w:rFonts w:cs="Helv;Arial" w:ascii="Helv;Arial" w:hAnsi="Helv;Arial"/>
          <w:color w:val="000000"/>
          <w:lang w:eastAsia="en-US"/>
        </w:rPr>
        <w:t>Attached below is a second list of assets that need regulatory risk review.   We would like to conclude this phase of the Global Regulatory Risk Review by July 7</w:t>
      </w:r>
      <w:r>
        <w:rPr>
          <w:rFonts w:cs="Helv;Arial" w:ascii="Helv;Arial" w:hAnsi="Helv;Arial"/>
          <w:color w:val="000000"/>
          <w:vertAlign w:val="superscript"/>
          <w:lang w:eastAsia="en-US"/>
        </w:rPr>
        <w:t>th</w:t>
      </w:r>
      <w:r>
        <w:rPr>
          <w:rFonts w:cs="Helv;Arial" w:ascii="Helv;Arial" w:hAnsi="Helv;Arial"/>
          <w:color w:val="000000"/>
          <w:lang w:eastAsia="en-US"/>
        </w:rPr>
        <w:t>, 2000.</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Next to each of the assets, the EGA responsible person is listed.</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eastAsia="Helv;Arial" w:cs="Helv;Arial" w:ascii="Helv;Arial" w:hAnsi="Helv;Arial"/>
          <w:color w:val="000000"/>
          <w:lang w:eastAsia="en-US"/>
        </w:rPr>
        <w:t xml:space="preserve"> </w:t>
      </w:r>
      <w:r>
        <w:rPr>
          <w:rFonts w:cs="Helv;Arial" w:ascii="Helv;Arial" w:hAnsi="Helv;Arial"/>
          <w:color w:val="000000"/>
          <w:lang w:eastAsia="en-US"/>
        </w:rPr>
        <w:t>Please use the following steps in this assessment process: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numPr>
          <w:ilvl w:val="0"/>
          <w:numId w:val="1"/>
        </w:numPr>
        <w:spacing w:lineRule="atLeast" w:line="240"/>
        <w:rPr>
          <w:rFonts w:ascii="Helv;Arial" w:hAnsi="Helv;Arial" w:cs="Helv;Arial"/>
          <w:color w:val="000000"/>
          <w:lang w:eastAsia="en-US"/>
        </w:rPr>
      </w:pPr>
      <w:r>
        <w:rPr>
          <w:rFonts w:cs="Helv;Arial" w:ascii="Helv;Arial" w:hAnsi="Helv;Arial"/>
          <w:color w:val="000000"/>
          <w:lang w:eastAsia="en-US"/>
        </w:rPr>
        <w:t xml:space="preserve">Give a description of the asset/project </w:t>
      </w:r>
    </w:p>
    <w:p>
      <w:pPr>
        <w:pStyle w:val="Normal"/>
        <w:numPr>
          <w:ilvl w:val="0"/>
          <w:numId w:val="1"/>
        </w:numPr>
        <w:spacing w:lineRule="atLeast" w:line="240"/>
        <w:rPr>
          <w:rFonts w:ascii="Helv;Arial" w:hAnsi="Helv;Arial" w:cs="Helv;Arial"/>
          <w:color w:val="000000"/>
          <w:lang w:eastAsia="en-US"/>
        </w:rPr>
      </w:pPr>
      <w:r>
        <w:rPr>
          <w:rFonts w:cs="Helv;Arial" w:ascii="Helv;Arial" w:hAnsi="Helv;Arial"/>
          <w:color w:val="000000"/>
          <w:lang w:eastAsia="en-US"/>
        </w:rPr>
        <w:t>List the regulatory risks associated with the asset</w:t>
      </w:r>
    </w:p>
    <w:p>
      <w:pPr>
        <w:pStyle w:val="Normal"/>
        <w:numPr>
          <w:ilvl w:val="0"/>
          <w:numId w:val="1"/>
        </w:numPr>
        <w:spacing w:lineRule="atLeast" w:line="240"/>
        <w:rPr>
          <w:rFonts w:ascii="Helv;Arial" w:hAnsi="Helv;Arial" w:cs="Helv;Arial"/>
          <w:color w:val="000000"/>
          <w:lang w:eastAsia="en-US"/>
        </w:rPr>
      </w:pPr>
      <w:r>
        <w:rPr>
          <w:rFonts w:cs="Helv;Arial" w:ascii="Helv;Arial" w:hAnsi="Helv;Arial"/>
          <w:color w:val="000000"/>
          <w:lang w:eastAsia="en-US"/>
        </w:rPr>
        <w:t>Give a description of each regulatory risk</w:t>
      </w:r>
    </w:p>
    <w:p>
      <w:pPr>
        <w:pStyle w:val="Normal"/>
        <w:numPr>
          <w:ilvl w:val="0"/>
          <w:numId w:val="1"/>
        </w:numPr>
        <w:spacing w:lineRule="atLeast" w:line="240"/>
        <w:rPr>
          <w:rFonts w:ascii="Helv;Arial" w:hAnsi="Helv;Arial" w:cs="Helv;Arial"/>
          <w:color w:val="000000"/>
          <w:lang w:eastAsia="en-US"/>
        </w:rPr>
      </w:pPr>
      <w:r>
        <w:rPr>
          <w:rFonts w:cs="Helv;Arial" w:ascii="Helv;Arial" w:hAnsi="Helv;Arial"/>
          <w:color w:val="000000"/>
          <w:lang w:eastAsia="en-US"/>
        </w:rPr>
        <w:t>State the amount of dollars at risk if each regulatory risk were to occur</w:t>
      </w:r>
    </w:p>
    <w:p>
      <w:pPr>
        <w:pStyle w:val="Normal"/>
        <w:numPr>
          <w:ilvl w:val="0"/>
          <w:numId w:val="1"/>
        </w:numPr>
        <w:spacing w:lineRule="atLeast" w:line="240"/>
        <w:rPr>
          <w:rFonts w:ascii="Helv;Arial" w:hAnsi="Helv;Arial" w:cs="Helv;Arial"/>
          <w:color w:val="000000"/>
          <w:lang w:eastAsia="en-US"/>
        </w:rPr>
      </w:pPr>
      <w:r>
        <w:rPr>
          <w:rFonts w:cs="Helv;Arial" w:ascii="Helv;Arial" w:hAnsi="Helv;Arial"/>
          <w:color w:val="000000"/>
          <w:lang w:eastAsia="en-US"/>
        </w:rPr>
        <w:t xml:space="preserve">State the likelihood of each risk occurring for the following timeframes: </w:t>
      </w:r>
      <w:r>
        <w:rPr>
          <w:rFonts w:cs="Helv;Arial" w:ascii="Helv;Arial" w:hAnsi="Helv;Arial"/>
          <w:b/>
          <w:color w:val="000000"/>
          <w:lang w:eastAsia="en-US"/>
        </w:rPr>
        <w:t xml:space="preserve"> a) </w:t>
      </w:r>
      <w:r>
        <w:rPr>
          <w:rFonts w:cs="Helv;Arial" w:ascii="Helv;Arial" w:hAnsi="Helv;Arial"/>
          <w:color w:val="000000"/>
          <w:lang w:eastAsia="en-US"/>
        </w:rPr>
        <w:t xml:space="preserve">by the end of the year  and </w:t>
      </w:r>
      <w:r>
        <w:rPr>
          <w:rFonts w:cs="Helv;Arial" w:ascii="Helv;Arial" w:hAnsi="Helv;Arial"/>
          <w:b/>
          <w:color w:val="000000"/>
          <w:lang w:eastAsia="en-US"/>
        </w:rPr>
        <w:t xml:space="preserve">b) </w:t>
      </w:r>
      <w:r>
        <w:rPr>
          <w:rFonts w:cs="Helv;Arial" w:ascii="Helv;Arial" w:hAnsi="Helv;Arial"/>
          <w:color w:val="000000"/>
          <w:lang w:eastAsia="en-US"/>
        </w:rPr>
        <w:t>over the next 12 calendar months</w:t>
      </w:r>
    </w:p>
    <w:p>
      <w:pPr>
        <w:pStyle w:val="Normal"/>
        <w:numPr>
          <w:ilvl w:val="0"/>
          <w:numId w:val="1"/>
        </w:numPr>
        <w:spacing w:lineRule="atLeast" w:line="240"/>
        <w:rPr>
          <w:rFonts w:ascii="Helv;Arial" w:hAnsi="Helv;Arial" w:cs="Helv;Arial"/>
          <w:color w:val="000000"/>
          <w:lang w:eastAsia="en-US"/>
        </w:rPr>
      </w:pPr>
      <w:r>
        <w:rPr>
          <w:rFonts w:cs="Helv;Arial" w:ascii="Helv;Arial" w:hAnsi="Helv;Arial"/>
          <w:color w:val="000000"/>
          <w:lang w:eastAsia="en-US"/>
        </w:rPr>
        <w:t xml:space="preserve">State the mitigation plan to avoid the risk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Recently, Steve Kean emphasized the need for EGA personnel to identify possible origination opportunities through careful scrutiny of the regulatory environment. Origination involves proactively modifying regulatory rules to increase Enron’s profits.  It is crucial to consider both the risks as well as origination opportunities while evaluating Enron businesses.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t>Please feel free to call us to help with the timely completion of this process.  We will be following up with each of you individually.</w:t>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t>Thank you for your cooperation with this effort.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2000-06-13T22:23:00Z</dcterms:created>
  <dc:creator>EI</dc:creator>
  <dc:description/>
  <dc:language>en-CA</dc:language>
  <cp:lastModifiedBy>John Neslage</cp:lastModifiedBy>
  <cp:lastPrinted>2000-06-13T17:43:00Z</cp:lastPrinted>
  <dcterms:modified xsi:type="dcterms:W3CDTF">2000-06-13T22:23:00Z</dcterms:modified>
  <cp:revision>2</cp:revision>
  <dc:subject/>
  <dc:title>RE: Regulatory Risk Review for Non-US — Non-European Assets</dc:title>
</cp:coreProperties>
</file>