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bl>
      <w:tblPr>
        <w:tblW w:w="9810" w:type="dxa"/>
        <w:jc w:val="start"/>
        <w:tblInd w:w="-522" w:type="dxa"/>
        <w:tblLayout w:type="fixed"/>
        <w:tblCellMar>
          <w:top w:w="0" w:type="dxa"/>
          <w:start w:w="108" w:type="dxa"/>
          <w:bottom w:w="0" w:type="dxa"/>
          <w:end w:w="108" w:type="dxa"/>
        </w:tblCellMar>
      </w:tblPr>
      <w:tblGrid>
        <w:gridCol w:w="1008"/>
        <w:gridCol w:w="3672"/>
        <w:gridCol w:w="1350"/>
        <w:gridCol w:w="3780"/>
      </w:tblGrid>
      <w:tr>
        <w:trPr/>
        <w:tc>
          <w:tcPr>
            <w:tcW w:w="1008" w:type="dxa"/>
            <w:tcBorders/>
          </w:tcPr>
          <w:p>
            <w:pPr>
              <w:pStyle w:val="Normal"/>
              <w:jc w:val="end"/>
              <w:rPr>
                <w:rFonts w:ascii="Arial" w:hAnsi="Arial" w:cs="Arial"/>
                <w:sz w:val="18"/>
              </w:rPr>
            </w:pPr>
            <w:r>
              <w:rPr>
                <w:rFonts w:cs="Arial" w:ascii="Arial" w:hAnsi="Arial"/>
                <w:sz w:val="18"/>
              </w:rPr>
              <w:t>To:</w:t>
            </w:r>
          </w:p>
        </w:tc>
        <w:tc>
          <w:tcPr>
            <w:tcW w:w="3672" w:type="dxa"/>
            <w:tcBorders/>
          </w:tcPr>
          <w:p>
            <w:pPr>
              <w:pStyle w:val="Normal"/>
              <w:rPr>
                <w:rFonts w:ascii="Arial" w:hAnsi="Arial" w:cs="Arial"/>
                <w:sz w:val="18"/>
              </w:rPr>
            </w:pPr>
            <w:r>
              <w:rPr>
                <w:rFonts w:cs="Arial" w:ascii="Arial" w:hAnsi="Arial"/>
                <w:sz w:val="18"/>
              </w:rPr>
              <w:t>Janet Dietrich</w:t>
            </w:r>
          </w:p>
          <w:p>
            <w:pPr>
              <w:pStyle w:val="Normal"/>
              <w:rPr>
                <w:rFonts w:ascii="Arial" w:hAnsi="Arial" w:cs="Arial"/>
                <w:sz w:val="18"/>
              </w:rPr>
            </w:pPr>
            <w:r>
              <w:rPr>
                <w:rFonts w:cs="Arial" w:ascii="Arial" w:hAnsi="Arial"/>
                <w:sz w:val="18"/>
              </w:rPr>
              <w:t>William Morrow</w:t>
            </w:r>
          </w:p>
          <w:p>
            <w:pPr>
              <w:pStyle w:val="Normal"/>
              <w:rPr>
                <w:rFonts w:ascii="Arial" w:hAnsi="Arial" w:cs="Arial"/>
                <w:sz w:val="18"/>
              </w:rPr>
            </w:pPr>
            <w:r>
              <w:rPr>
                <w:rFonts w:cs="Arial" w:ascii="Arial" w:hAnsi="Arial"/>
                <w:sz w:val="18"/>
              </w:rPr>
              <w:t>enovate, L.L.C. Board of Managers</w:t>
            </w:r>
          </w:p>
        </w:tc>
        <w:tc>
          <w:tcPr>
            <w:tcW w:w="1350" w:type="dxa"/>
            <w:tcBorders/>
          </w:tcPr>
          <w:p>
            <w:pPr>
              <w:pStyle w:val="Normal"/>
              <w:snapToGrid w:val="false"/>
              <w:jc w:val="end"/>
              <w:rPr>
                <w:rFonts w:ascii="Arial" w:hAnsi="Arial" w:cs="Arial"/>
                <w:sz w:val="18"/>
              </w:rPr>
            </w:pPr>
            <w:r>
              <w:rPr>
                <w:rFonts w:cs="Arial" w:ascii="Arial" w:hAnsi="Arial"/>
                <w:sz w:val="18"/>
              </w:rPr>
            </w:r>
          </w:p>
        </w:tc>
        <w:tc>
          <w:tcPr>
            <w:tcW w:w="3780" w:type="dxa"/>
            <w:tcBorders/>
          </w:tcPr>
          <w:p>
            <w:pPr>
              <w:pStyle w:val="Normal"/>
              <w:snapToGrid w:val="false"/>
              <w:rPr>
                <w:rFonts w:ascii="Arial" w:hAnsi="Arial" w:cs="Arial"/>
                <w:sz w:val="18"/>
              </w:rPr>
            </w:pPr>
            <w:r>
              <w:rPr>
                <w:rFonts w:cs="Arial" w:ascii="Arial" w:hAnsi="Arial"/>
                <w:sz w:val="18"/>
              </w:rPr>
            </w:r>
          </w:p>
        </w:tc>
      </w:tr>
      <w:tr>
        <w:trPr>
          <w:trHeight w:val="117" w:hRule="atLeast"/>
        </w:trPr>
        <w:tc>
          <w:tcPr>
            <w:tcW w:w="1008" w:type="dxa"/>
            <w:tcBorders/>
          </w:tcPr>
          <w:p>
            <w:pPr>
              <w:pStyle w:val="Normal"/>
              <w:snapToGrid w:val="false"/>
              <w:jc w:val="end"/>
              <w:rPr>
                <w:rFonts w:ascii="Arial" w:hAnsi="Arial" w:cs="Arial"/>
                <w:sz w:val="18"/>
              </w:rPr>
            </w:pPr>
            <w:r>
              <w:rPr>
                <w:rFonts w:cs="Arial" w:ascii="Arial" w:hAnsi="Arial"/>
                <w:sz w:val="18"/>
              </w:rPr>
            </w:r>
          </w:p>
        </w:tc>
        <w:tc>
          <w:tcPr>
            <w:tcW w:w="3672" w:type="dxa"/>
            <w:tcBorders/>
          </w:tcPr>
          <w:p>
            <w:pPr>
              <w:pStyle w:val="Normal"/>
              <w:snapToGrid w:val="false"/>
              <w:rPr>
                <w:rFonts w:ascii="Arial" w:hAnsi="Arial" w:cs="Arial"/>
                <w:sz w:val="18"/>
              </w:rPr>
            </w:pPr>
            <w:r>
              <w:rPr>
                <w:rFonts w:cs="Arial" w:ascii="Arial" w:hAnsi="Arial"/>
                <w:sz w:val="18"/>
              </w:rPr>
            </w:r>
          </w:p>
        </w:tc>
        <w:tc>
          <w:tcPr>
            <w:tcW w:w="1350" w:type="dxa"/>
            <w:tcBorders/>
          </w:tcPr>
          <w:p>
            <w:pPr>
              <w:pStyle w:val="Normal"/>
              <w:snapToGrid w:val="false"/>
              <w:jc w:val="end"/>
              <w:rPr>
                <w:rFonts w:ascii="Arial" w:hAnsi="Arial" w:cs="Arial"/>
                <w:sz w:val="18"/>
              </w:rPr>
            </w:pPr>
            <w:r>
              <w:rPr>
                <w:rFonts w:cs="Arial" w:ascii="Arial" w:hAnsi="Arial"/>
                <w:sz w:val="18"/>
              </w:rPr>
            </w:r>
          </w:p>
        </w:tc>
        <w:tc>
          <w:tcPr>
            <w:tcW w:w="3780" w:type="dxa"/>
            <w:tcBorders/>
          </w:tcPr>
          <w:p>
            <w:pPr>
              <w:pStyle w:val="Normal"/>
              <w:snapToGrid w:val="false"/>
              <w:rPr>
                <w:rFonts w:ascii="Arial" w:hAnsi="Arial" w:cs="Arial"/>
                <w:sz w:val="18"/>
              </w:rPr>
            </w:pPr>
            <w:r>
              <w:rPr>
                <w:rFonts w:cs="Arial" w:ascii="Arial" w:hAnsi="Arial"/>
                <w:sz w:val="18"/>
              </w:rPr>
            </w:r>
          </w:p>
        </w:tc>
      </w:tr>
      <w:tr>
        <w:trPr>
          <w:trHeight w:val="198" w:hRule="atLeast"/>
        </w:trPr>
        <w:tc>
          <w:tcPr>
            <w:tcW w:w="1008" w:type="dxa"/>
            <w:tcBorders/>
          </w:tcPr>
          <w:p>
            <w:pPr>
              <w:pStyle w:val="Normal"/>
              <w:jc w:val="end"/>
              <w:rPr>
                <w:rFonts w:ascii="Arial" w:hAnsi="Arial" w:cs="Arial"/>
                <w:sz w:val="18"/>
              </w:rPr>
            </w:pPr>
            <w:r>
              <w:rPr>
                <w:rFonts w:cs="Arial" w:ascii="Arial" w:hAnsi="Arial"/>
                <w:sz w:val="18"/>
              </w:rPr>
              <w:t>From:</w:t>
            </w:r>
          </w:p>
        </w:tc>
        <w:tc>
          <w:tcPr>
            <w:tcW w:w="3672" w:type="dxa"/>
            <w:tcBorders/>
          </w:tcPr>
          <w:p>
            <w:pPr>
              <w:pStyle w:val="Normal"/>
              <w:rPr>
                <w:rFonts w:ascii="Arial" w:hAnsi="Arial" w:cs="Arial"/>
                <w:sz w:val="18"/>
              </w:rPr>
            </w:pPr>
            <w:r>
              <w:rPr>
                <w:rFonts w:cs="Arial" w:ascii="Arial" w:hAnsi="Arial"/>
                <w:sz w:val="18"/>
              </w:rPr>
              <w:t>enovate Risk Management Committee</w:t>
            </w:r>
          </w:p>
        </w:tc>
        <w:tc>
          <w:tcPr>
            <w:tcW w:w="1350" w:type="dxa"/>
            <w:tcBorders/>
          </w:tcPr>
          <w:p>
            <w:pPr>
              <w:pStyle w:val="Normal"/>
              <w:snapToGrid w:val="false"/>
              <w:jc w:val="end"/>
              <w:rPr>
                <w:rFonts w:ascii="Arial" w:hAnsi="Arial" w:cs="Arial"/>
                <w:sz w:val="18"/>
              </w:rPr>
            </w:pPr>
            <w:r>
              <w:rPr>
                <w:rFonts w:cs="Arial" w:ascii="Arial" w:hAnsi="Arial"/>
                <w:sz w:val="18"/>
              </w:rPr>
            </w:r>
          </w:p>
        </w:tc>
        <w:tc>
          <w:tcPr>
            <w:tcW w:w="3780" w:type="dxa"/>
            <w:tcBorders/>
          </w:tcPr>
          <w:p>
            <w:pPr>
              <w:pStyle w:val="Normal"/>
              <w:snapToGrid w:val="false"/>
              <w:ind w:hanging="1152" w:start="1152" w:end="0"/>
              <w:rPr>
                <w:rFonts w:ascii="Arial" w:hAnsi="Arial" w:cs="Arial"/>
                <w:sz w:val="18"/>
              </w:rPr>
            </w:pPr>
            <w:r>
              <w:rPr>
                <w:rFonts w:cs="Arial" w:ascii="Arial" w:hAnsi="Arial"/>
                <w:sz w:val="18"/>
              </w:rPr>
            </w:r>
          </w:p>
        </w:tc>
      </w:tr>
      <w:tr>
        <w:trPr/>
        <w:tc>
          <w:tcPr>
            <w:tcW w:w="1008" w:type="dxa"/>
            <w:tcBorders/>
          </w:tcPr>
          <w:p>
            <w:pPr>
              <w:pStyle w:val="Normal"/>
              <w:snapToGrid w:val="false"/>
              <w:jc w:val="end"/>
              <w:rPr>
                <w:rFonts w:ascii="Arial" w:hAnsi="Arial" w:cs="Arial"/>
                <w:sz w:val="18"/>
              </w:rPr>
            </w:pPr>
            <w:r>
              <w:rPr>
                <w:rFonts w:cs="Arial" w:ascii="Arial" w:hAnsi="Arial"/>
                <w:sz w:val="18"/>
              </w:rPr>
            </w:r>
          </w:p>
        </w:tc>
        <w:tc>
          <w:tcPr>
            <w:tcW w:w="3672" w:type="dxa"/>
            <w:tcBorders/>
          </w:tcPr>
          <w:p>
            <w:pPr>
              <w:pStyle w:val="Normal"/>
              <w:snapToGrid w:val="false"/>
              <w:rPr>
                <w:rFonts w:ascii="Arial" w:hAnsi="Arial" w:cs="Arial"/>
                <w:sz w:val="18"/>
              </w:rPr>
            </w:pPr>
            <w:r>
              <w:rPr>
                <w:rFonts w:cs="Arial" w:ascii="Arial" w:hAnsi="Arial"/>
                <w:sz w:val="18"/>
              </w:rPr>
            </w:r>
          </w:p>
        </w:tc>
        <w:tc>
          <w:tcPr>
            <w:tcW w:w="1350" w:type="dxa"/>
            <w:tcBorders/>
          </w:tcPr>
          <w:p>
            <w:pPr>
              <w:pStyle w:val="Normal"/>
              <w:snapToGrid w:val="false"/>
              <w:jc w:val="end"/>
              <w:rPr>
                <w:rFonts w:ascii="Arial" w:hAnsi="Arial" w:cs="Arial"/>
                <w:sz w:val="18"/>
              </w:rPr>
            </w:pPr>
            <w:r>
              <w:rPr>
                <w:rFonts w:cs="Arial" w:ascii="Arial" w:hAnsi="Arial"/>
                <w:sz w:val="18"/>
              </w:rPr>
            </w:r>
          </w:p>
        </w:tc>
        <w:tc>
          <w:tcPr>
            <w:tcW w:w="3780" w:type="dxa"/>
            <w:tcBorders/>
          </w:tcPr>
          <w:p>
            <w:pPr>
              <w:pStyle w:val="Normal"/>
              <w:snapToGrid w:val="false"/>
              <w:rPr>
                <w:rFonts w:ascii="Arial" w:hAnsi="Arial" w:cs="Arial"/>
                <w:sz w:val="18"/>
              </w:rPr>
            </w:pPr>
            <w:r>
              <w:rPr>
                <w:rFonts w:cs="Arial" w:ascii="Arial" w:hAnsi="Arial"/>
                <w:sz w:val="18"/>
              </w:rPr>
            </w:r>
          </w:p>
        </w:tc>
      </w:tr>
      <w:tr>
        <w:trPr/>
        <w:tc>
          <w:tcPr>
            <w:tcW w:w="1008" w:type="dxa"/>
            <w:tcBorders/>
          </w:tcPr>
          <w:p>
            <w:pPr>
              <w:pStyle w:val="Normal"/>
              <w:jc w:val="end"/>
              <w:rPr>
                <w:rFonts w:ascii="Arial" w:hAnsi="Arial" w:cs="Arial"/>
                <w:sz w:val="18"/>
              </w:rPr>
            </w:pPr>
            <w:r>
              <w:rPr>
                <w:rFonts w:cs="Arial" w:ascii="Arial" w:hAnsi="Arial"/>
                <w:sz w:val="18"/>
              </w:rPr>
              <w:t>Subject:</w:t>
            </w:r>
          </w:p>
        </w:tc>
        <w:tc>
          <w:tcPr>
            <w:tcW w:w="3672" w:type="dxa"/>
            <w:tcBorders/>
          </w:tcPr>
          <w:p>
            <w:pPr>
              <w:pStyle w:val="Normal"/>
              <w:rPr>
                <w:rFonts w:ascii="Arial" w:hAnsi="Arial" w:cs="Arial"/>
                <w:sz w:val="18"/>
              </w:rPr>
            </w:pPr>
            <w:r>
              <w:rPr>
                <w:rFonts w:cs="Arial" w:ascii="Arial" w:hAnsi="Arial"/>
                <w:sz w:val="18"/>
              </w:rPr>
              <w:t>enovate, L.L.C. Risk Management Policy</w:t>
            </w:r>
          </w:p>
        </w:tc>
        <w:tc>
          <w:tcPr>
            <w:tcW w:w="1350" w:type="dxa"/>
            <w:tcBorders/>
          </w:tcPr>
          <w:p>
            <w:pPr>
              <w:pStyle w:val="Normal"/>
              <w:jc w:val="end"/>
              <w:rPr>
                <w:rFonts w:ascii="Arial" w:hAnsi="Arial" w:cs="Arial"/>
                <w:sz w:val="18"/>
              </w:rPr>
            </w:pPr>
            <w:r>
              <w:rPr>
                <w:rFonts w:cs="Arial" w:ascii="Arial" w:hAnsi="Arial"/>
                <w:sz w:val="18"/>
              </w:rPr>
              <w:t xml:space="preserve">Date:               </w:t>
            </w:r>
          </w:p>
        </w:tc>
        <w:tc>
          <w:tcPr>
            <w:tcW w:w="3780" w:type="dxa"/>
            <w:tcBorders/>
          </w:tcPr>
          <w:p>
            <w:pPr>
              <w:pStyle w:val="Normal"/>
              <w:rPr>
                <w:rFonts w:ascii="Arial" w:hAnsi="Arial" w:cs="Arial"/>
                <w:sz w:val="18"/>
              </w:rPr>
            </w:pPr>
            <w:r>
              <w:rPr>
                <w:rFonts w:cs="Arial" w:ascii="Arial" w:hAnsi="Arial"/>
                <w:sz w:val="18"/>
              </w:rPr>
              <w:t>October 26, 2000</w:t>
            </w:r>
          </w:p>
        </w:tc>
      </w:tr>
    </w:tbl>
    <w:p>
      <w:pPr>
        <w:pStyle w:val="Normal"/>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pPr>
      <w:r>
        <w:rPr/>
      </w:r>
    </w:p>
    <w:p>
      <w:pPr>
        <w:pStyle w:val="Body"/>
        <w:rPr>
          <w:color w:val="000000"/>
        </w:rPr>
      </w:pPr>
      <w:r>
        <w:rPr>
          <w:color w:val="000000"/>
        </w:rPr>
        <w:t>The enovate, L.L.C. Risk Management Committee recommends that the enovate, L.L.C. Board of Managers adopt and approve the enovate, L.L.C. Risk Management Policy dated October 26, 2000 along with all appendices.</w:t>
      </w:r>
    </w:p>
    <w:p>
      <w:pPr>
        <w:pStyle w:val="Body"/>
        <w:rPr>
          <w:color w:val="000000"/>
        </w:rPr>
      </w:pPr>
      <w:r>
        <w:rPr>
          <w:color w:val="000000"/>
        </w:rPr>
      </w:r>
    </w:p>
    <w:p>
      <w:pPr>
        <w:pStyle w:val="CopyList"/>
        <w:tabs>
          <w:tab w:val="clear" w:pos="504"/>
          <w:tab w:val="left" w:pos="-270" w:leader="none"/>
        </w:tabs>
        <w:ind w:hanging="0" w:start="-270" w:end="0"/>
        <w:rPr/>
      </w:pPr>
      <w:r>
        <w:rPr/>
        <w:t xml:space="preserve">CC:  </w:t>
      </w:r>
    </w:p>
    <w:p>
      <w:pPr>
        <w:pStyle w:val="Header"/>
        <w:tabs>
          <w:tab w:val="clear" w:pos="4320"/>
          <w:tab w:val="clear" w:pos="8640"/>
        </w:tabs>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drawing>
        <wp:anchor behindDoc="1" distT="0" distB="0" distL="114935" distR="114935" simplePos="0" locked="0" layoutInCell="1" allowOverlap="1" relativeHeight="2">
          <wp:simplePos x="0" y="0"/>
          <wp:positionH relativeFrom="column">
            <wp:posOffset>-960120</wp:posOffset>
          </wp:positionH>
          <wp:positionV relativeFrom="paragraph">
            <wp:posOffset>-128270</wp:posOffset>
          </wp:positionV>
          <wp:extent cx="688975" cy="68897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21" r="-21" b="-21"/>
                  <a:stretch>
                    <a:fillRect/>
                  </a:stretch>
                </pic:blipFill>
                <pic:spPr bwMode="auto">
                  <a:xfrm>
                    <a:off x="0" y="0"/>
                    <a:ext cx="688975" cy="688975"/>
                  </a:xfrm>
                  <a:prstGeom prst="rect">
                    <a:avLst/>
                  </a:prstGeom>
                  <a:gradFill rotWithShape="0">
                    <a:gsLst>
                      <a:gs pos="0">
                        <a:srgbClr val="0000ff"/>
                      </a:gs>
                      <a:gs pos="100000">
                        <a:srgbClr val="ffffff"/>
                      </a:gs>
                    </a:gsLst>
                    <a:lin ang="5400000"/>
                  </a:gradFill>
                </pic:spPr>
              </pic:pic>
            </a:graphicData>
          </a:graphic>
        </wp:anchor>
      </w:drawing>
      <w:drawing>
        <wp:anchor behindDoc="0" distT="0" distB="0" distL="114935" distR="114935" simplePos="0" locked="0" layoutInCell="0" allowOverlap="1" relativeHeight="3">
          <wp:simplePos x="0" y="0"/>
          <wp:positionH relativeFrom="column">
            <wp:posOffset>4983480</wp:posOffset>
          </wp:positionH>
          <wp:positionV relativeFrom="paragraph">
            <wp:posOffset>-36830</wp:posOffset>
          </wp:positionV>
          <wp:extent cx="1492250" cy="43942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24" t="-82" r="-24" b="-82"/>
                  <a:stretch>
                    <a:fillRect/>
                  </a:stretch>
                </pic:blipFill>
                <pic:spPr bwMode="auto">
                  <a:xfrm>
                    <a:off x="0" y="0"/>
                    <a:ext cx="1492250" cy="439420"/>
                  </a:xfrm>
                  <a:prstGeom prst="rect">
                    <a:avLst/>
                  </a:prstGeom>
                  <a:noFill/>
                </pic:spPr>
              </pic:pic>
            </a:graphicData>
          </a:graphic>
        </wp:anchor>
      </w:drawing>
    </w:r>
    <w:r>
      <w:rPr/>
      <w:t>A Peoples Energy/Enron Partnership</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pyList">
    <w:name w:val="CopyList"/>
    <w:basedOn w:val="Normal"/>
    <w:qFormat/>
    <w:pPr>
      <w:tabs>
        <w:tab w:val="clear" w:pos="720"/>
        <w:tab w:val="left" w:pos="504" w:leader="none"/>
      </w:tabs>
      <w:spacing w:before="360" w:after="0"/>
      <w:ind w:hanging="504" w:start="576" w:end="0"/>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2000-10-26T16:14:00Z</dcterms:created>
  <dc:creator>rmurrel</dc:creator>
  <dc:description/>
  <dc:language>en-CA</dc:language>
  <cp:lastModifiedBy>gpenman</cp:lastModifiedBy>
  <dcterms:modified xsi:type="dcterms:W3CDTF">2000-10-26T16:14:00Z</dcterms:modified>
  <cp:revision>2</cp:revision>
  <dc:subject/>
  <dc:title>enovate</dc:title>
</cp:coreProperties>
</file>