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Helvetica" w:hAnsi="Helvetica" w:cs="Helvetica"/>
          <w:b/>
          <w:sz w:val="24"/>
        </w:rPr>
      </w:pPr>
      <w:r>
        <w:rPr>
          <w:rFonts w:cs="Helvetica" w:ascii="Helvetica" w:hAnsi="Helvetica"/>
          <w:b/>
          <w:sz w:val="24"/>
        </w:rPr>
        <w:t>RE:</w:t>
        <w:tab/>
        <w:t>South Texas Expansion Project Open Season dated July 13, 2001- Update</w:t>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rPr>
      </w:pPr>
      <w:r>
        <w:rPr>
          <w:rFonts w:cs="Helvetica" w:ascii="Helvetica" w:hAnsi="Helvetica"/>
          <w:b/>
          <w:sz w:val="24"/>
        </w:rPr>
      </w:r>
    </w:p>
    <w:p>
      <w:pPr>
        <w:pStyle w:val="BodyText"/>
        <w:rPr>
          <w:rFonts w:ascii="Helvetica" w:hAnsi="Helvetica" w:cs="Times New Roman"/>
          <w:bCs/>
        </w:rPr>
      </w:pPr>
      <w:r>
        <w:rPr>
          <w:rFonts w:cs="Times New Roman" w:ascii="Helvetica" w:hAnsi="Helvetica"/>
          <w:bCs/>
        </w:rPr>
        <w:t xml:space="preserve">Tennessee Gas Pipeline Company (“Tennessee”) wishes to inform all interested parties that it is extending the deadline for parties to submit completed Open Season Request Forms for the proposed South Texas Expansion Project. Prospective shippers will have until the close of business, Wednesday, November 28, 2001 to submit the request forms. Any questions regarding this deadline may be submitted to Preston Troutman at 832-676-5191.  </w:t>
      </w:r>
    </w:p>
    <w:p>
      <w:pPr>
        <w:pStyle w:val="Normal"/>
        <w:rPr>
          <w:rFonts w:ascii="Helvetica" w:hAnsi="Helvetica" w:cs="Helvetica"/>
          <w:b/>
          <w:bCs/>
          <w:sz w:val="24"/>
        </w:rPr>
      </w:pPr>
      <w:r>
        <w:rPr>
          <w:rFonts w:cs="Helvetica" w:ascii="Helvetica" w:hAnsi="Helvetica"/>
          <w:b/>
          <w:bCs/>
          <w:sz w:val="24"/>
        </w:rPr>
      </w:r>
    </w:p>
    <w:p>
      <w:pPr>
        <w:pStyle w:val="Normal"/>
        <w:rPr>
          <w:rFonts w:ascii="Helvetica" w:hAnsi="Helvetica" w:cs="Helvetica"/>
          <w:b/>
          <w:sz w:val="24"/>
        </w:rPr>
      </w:pPr>
      <w:r>
        <w:rPr>
          <w:rFonts w:cs="Helvetica" w:ascii="Helvetica" w:hAnsi="Helvetica"/>
          <w:bCs/>
          <w:sz w:val="24"/>
        </w:rPr>
        <w:t>Please see the original Open Season Guidelines (attached)</w:t>
      </w:r>
      <w:r>
        <w:br w:type="page"/>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rPr>
      </w:pPr>
      <w:r>
        <w:rPr>
          <w:rFonts w:cs="Helvetica" w:ascii="Helvetica" w:hAnsi="Helvetica"/>
          <w:b/>
          <w:sz w:val="24"/>
        </w:rPr>
      </w:r>
    </w:p>
    <w:p>
      <w:pPr>
        <w:pStyle w:val="Normal"/>
        <w:jc w:val="center"/>
        <w:rPr>
          <w:rFonts w:ascii="Helvetica" w:hAnsi="Helvetica" w:cs="Helvetica"/>
          <w:b/>
          <w:sz w:val="24"/>
        </w:rPr>
      </w:pPr>
      <w:r>
        <w:rPr>
          <w:rFonts w:cs="Helvetica" w:ascii="Helvetica" w:hAnsi="Helvetica"/>
          <w:b/>
          <w:sz w:val="24"/>
        </w:rPr>
        <w:t>South Texas Expansion Project</w:t>
      </w:r>
    </w:p>
    <w:p>
      <w:pPr>
        <w:pStyle w:val="Normal"/>
        <w:jc w:val="center"/>
        <w:rPr>
          <w:rFonts w:ascii="Helvetica" w:hAnsi="Helvetica" w:cs="Helvetica"/>
          <w:b/>
          <w:sz w:val="24"/>
        </w:rPr>
      </w:pPr>
      <w:r>
        <w:rPr>
          <w:rFonts w:cs="Helvetica" w:ascii="Helvetica" w:hAnsi="Helvetica"/>
          <w:b/>
          <w:sz w:val="24"/>
        </w:rPr>
        <w:t>Open Season Guidelines</w:t>
      </w:r>
    </w:p>
    <w:p>
      <w:pPr>
        <w:pStyle w:val="Normal"/>
        <w:jc w:val="center"/>
        <w:rPr>
          <w:rFonts w:ascii="Helvetica" w:hAnsi="Helvetica" w:cs="Helvetica"/>
          <w:b/>
          <w:sz w:val="24"/>
        </w:rPr>
      </w:pPr>
      <w:r>
        <w:rPr>
          <w:rFonts w:cs="Helvetica" w:ascii="Helvetica" w:hAnsi="Helvetica"/>
          <w:b/>
          <w:sz w:val="24"/>
        </w:rPr>
      </w:r>
    </w:p>
    <w:p>
      <w:pPr>
        <w:pStyle w:val="Normal"/>
        <w:jc w:val="center"/>
        <w:rPr>
          <w:rFonts w:ascii="Helvetica" w:hAnsi="Helvetica" w:cs="Helvetica"/>
        </w:rPr>
      </w:pPr>
      <w:r>
        <w:rPr>
          <w:rFonts w:cs="Helvetica" w:ascii="Helvetica" w:hAnsi="Helvetica"/>
        </w:rPr>
      </w:r>
    </w:p>
    <w:p>
      <w:pPr>
        <w:pStyle w:val="Normal"/>
        <w:jc w:val="center"/>
        <w:rPr>
          <w:rFonts w:ascii="Helvetica" w:hAnsi="Helvetica" w:cs="Helvetica"/>
        </w:rPr>
      </w:pPr>
      <w:r>
        <w:rPr>
          <w:rFonts w:cs="Helvetica" w:ascii="Helvetica" w:hAnsi="Helvetica"/>
        </w:rPr>
      </w:r>
    </w:p>
    <w:p>
      <w:pPr>
        <w:pStyle w:val="Normal"/>
        <w:jc w:val="center"/>
        <w:rPr>
          <w:rFonts w:ascii="Helvetica" w:hAnsi="Helvetica" w:cs="Helvetica"/>
        </w:rPr>
      </w:pPr>
      <w:r>
        <w:rPr>
          <w:rFonts w:cs="Helvetica" w:ascii="Helvetica" w:hAnsi="Helvetica"/>
        </w:rPr>
      </w:r>
    </w:p>
    <w:p>
      <w:pPr>
        <w:pStyle w:val="Heading1"/>
        <w:ind w:hanging="0" w:start="0"/>
        <w:rPr>
          <w:rFonts w:ascii="Arial" w:hAnsi="Arial" w:cs="Arial"/>
          <w:i/>
          <w:i/>
          <w:sz w:val="24"/>
        </w:rPr>
      </w:pPr>
      <w:r>
        <w:rPr>
          <w:rFonts w:cs="Arial" w:ascii="Arial" w:hAnsi="Arial"/>
          <w:i/>
          <w:sz w:val="24"/>
        </w:rPr>
        <w:t>SUBSCRIPTION PERIOD:</w:t>
      </w:r>
    </w:p>
    <w:p>
      <w:pPr>
        <w:pStyle w:val="Normal"/>
        <w:rPr>
          <w:rFonts w:ascii="Arial" w:hAnsi="Arial" w:cs="Arial"/>
          <w:i/>
          <w:i/>
          <w:sz w:val="24"/>
        </w:rPr>
      </w:pPr>
      <w:r>
        <w:rPr>
          <w:rFonts w:cs="Arial" w:ascii="Arial" w:hAnsi="Arial"/>
          <w:i/>
          <w:sz w:val="24"/>
        </w:rPr>
      </w:r>
    </w:p>
    <w:p>
      <w:pPr>
        <w:pStyle w:val="Normal"/>
        <w:rPr>
          <w:rFonts w:ascii="Arial" w:hAnsi="Arial" w:cs="Arial"/>
          <w:sz w:val="24"/>
        </w:rPr>
      </w:pPr>
      <w:r>
        <w:rPr>
          <w:rFonts w:cs="Arial" w:ascii="Arial" w:hAnsi="Arial"/>
          <w:sz w:val="24"/>
        </w:rPr>
        <w:t>The open season period for the South Texas Expansion Project shall commence July 13, 2001 and close July 20, 2001 at 5:00 p.m. CST.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Tennessee Gas Pipeline Company (“Tennessee”) must receive all completed Open Season Request Forms no later than 5:00 p.m. CST on July 20, 2001 at the following address:</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b/>
          <w:sz w:val="24"/>
        </w:rPr>
      </w:pPr>
      <w:r>
        <w:rPr>
          <w:rFonts w:cs="Arial" w:ascii="Arial" w:hAnsi="Arial"/>
          <w:b/>
          <w:sz w:val="24"/>
        </w:rPr>
        <w:t>Tennessee Gas Pipeline Company</w:t>
      </w:r>
    </w:p>
    <w:p>
      <w:pPr>
        <w:pStyle w:val="Heading3"/>
        <w:rPr>
          <w:rFonts w:ascii="Arial" w:hAnsi="Arial" w:cs="Arial"/>
          <w:sz w:val="24"/>
        </w:rPr>
      </w:pPr>
      <w:r>
        <w:rPr>
          <w:rFonts w:cs="Arial" w:ascii="Arial" w:hAnsi="Arial"/>
          <w:sz w:val="24"/>
        </w:rPr>
        <w:t>1001 Louisiana</w:t>
      </w:r>
    </w:p>
    <w:p>
      <w:pPr>
        <w:pStyle w:val="Normal"/>
        <w:ind w:start="1440" w:end="0"/>
        <w:rPr>
          <w:rFonts w:ascii="Arial" w:hAnsi="Arial" w:cs="Arial"/>
          <w:b/>
          <w:sz w:val="24"/>
        </w:rPr>
      </w:pPr>
      <w:r>
        <w:rPr>
          <w:rFonts w:cs="Arial" w:ascii="Arial" w:hAnsi="Arial"/>
          <w:b/>
          <w:sz w:val="24"/>
        </w:rPr>
        <w:t>Houston, TX 77002</w:t>
      </w:r>
    </w:p>
    <w:p>
      <w:pPr>
        <w:pStyle w:val="Normal"/>
        <w:ind w:start="1440" w:end="0"/>
        <w:rPr>
          <w:rFonts w:ascii="Arial" w:hAnsi="Arial" w:cs="Arial"/>
          <w:b/>
          <w:sz w:val="24"/>
        </w:rPr>
      </w:pPr>
      <w:r>
        <w:rPr>
          <w:rFonts w:cs="Arial" w:ascii="Arial" w:hAnsi="Arial"/>
          <w:b/>
          <w:sz w:val="24"/>
        </w:rPr>
        <w:t>Attn: Preston Troutman</w:t>
      </w:r>
    </w:p>
    <w:p>
      <w:pPr>
        <w:pStyle w:val="Normal"/>
        <w:ind w:start="1440" w:end="0"/>
        <w:rPr>
          <w:rFonts w:ascii="Arial" w:hAnsi="Arial" w:cs="Arial"/>
          <w:b/>
          <w:sz w:val="24"/>
        </w:rPr>
      </w:pPr>
      <w:r>
        <w:rPr>
          <w:rFonts w:cs="Arial" w:ascii="Arial" w:hAnsi="Arial"/>
          <w:b/>
          <w:sz w:val="24"/>
        </w:rPr>
      </w:r>
    </w:p>
    <w:p>
      <w:pPr>
        <w:pStyle w:val="Heading2"/>
        <w:ind w:hanging="0" w:start="1440" w:end="0"/>
        <w:rPr>
          <w:rFonts w:cs="Arial"/>
          <w:sz w:val="24"/>
        </w:rPr>
      </w:pPr>
      <w:r>
        <w:rPr>
          <w:rFonts w:cs="Arial"/>
          <w:sz w:val="24"/>
        </w:rPr>
        <w:t xml:space="preserve">Telephone: </w:t>
        <w:tab/>
        <w:t>(832) 676-5191</w:t>
      </w:r>
    </w:p>
    <w:p>
      <w:pPr>
        <w:pStyle w:val="Normal"/>
        <w:ind w:start="1440" w:end="0"/>
        <w:rPr>
          <w:rFonts w:ascii="Arial" w:hAnsi="Arial" w:cs="Arial"/>
          <w:b/>
          <w:sz w:val="24"/>
        </w:rPr>
      </w:pPr>
      <w:r>
        <w:rPr>
          <w:rFonts w:cs="Arial" w:ascii="Arial" w:hAnsi="Arial"/>
          <w:b/>
          <w:sz w:val="24"/>
        </w:rPr>
        <w:t>Fax:</w:t>
        <w:tab/>
        <w:tab/>
        <w:t>(832) 676-1864</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To request a form, contact Preston Troutman at the phone number listed above.</w:t>
      </w:r>
    </w:p>
    <w:p>
      <w:pPr>
        <w:pStyle w:val="Heading1"/>
        <w:ind w:hanging="0" w:start="0"/>
        <w:rPr>
          <w:rFonts w:ascii="Arial" w:hAnsi="Arial" w:cs="Arial"/>
          <w:sz w:val="24"/>
        </w:rPr>
      </w:pPr>
      <w:r>
        <w:rPr>
          <w:rFonts w:cs="Arial" w:ascii="Arial" w:hAnsi="Arial"/>
          <w:sz w:val="24"/>
        </w:rPr>
      </w:r>
    </w:p>
    <w:p>
      <w:pPr>
        <w:pStyle w:val="Heading1"/>
        <w:ind w:hanging="0" w:start="0"/>
        <w:rPr>
          <w:rFonts w:ascii="Arial" w:hAnsi="Arial" w:cs="Arial"/>
          <w:i/>
          <w:i/>
          <w:sz w:val="24"/>
        </w:rPr>
      </w:pPr>
      <w:r>
        <w:rPr>
          <w:rFonts w:cs="Arial" w:ascii="Arial" w:hAnsi="Arial"/>
          <w:i/>
          <w:sz w:val="24"/>
        </w:rPr>
        <w:t>NON-BINDING NATURE:</w:t>
      </w:r>
    </w:p>
    <w:p>
      <w:pPr>
        <w:pStyle w:val="Normal"/>
        <w:rPr>
          <w:rFonts w:ascii="Arial" w:hAnsi="Arial" w:cs="Arial"/>
          <w:i/>
          <w:i/>
          <w:sz w:val="24"/>
        </w:rPr>
      </w:pPr>
      <w:r>
        <w:rPr>
          <w:rFonts w:cs="Arial" w:ascii="Arial" w:hAnsi="Arial"/>
          <w:i/>
          <w:sz w:val="24"/>
        </w:rPr>
      </w:r>
    </w:p>
    <w:p>
      <w:pPr>
        <w:pStyle w:val="Normal"/>
        <w:rPr>
          <w:rFonts w:ascii="Arial" w:hAnsi="Arial" w:cs="Arial"/>
          <w:sz w:val="24"/>
        </w:rPr>
      </w:pPr>
      <w:r>
        <w:rPr>
          <w:rFonts w:cs="Arial" w:ascii="Arial" w:hAnsi="Arial"/>
          <w:sz w:val="24"/>
        </w:rPr>
        <w:t>Participation in this open season shall be considered non-binding on both the participants and on Tennessee.  The purpose of the open season is to allow Tennessee to evaluate the market interest, economics and design parameters for the proposed South Texas Expansion Project (hereinafter, the “Project”).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Based upon the results of the open season, Tennessee will determine whether to proceed with the Project.   Tennessee may determine to proceed with the Project based solely on the requests submitted in this open season.  In such case, Tennessee will proceed to enter into discussions with parties submitting requests for the purpose of executing binding precedent agreements.  Although the open season is non-binding, only those requests received during the open season period will be guaranteed consideration for service on the Project.  In its sole discretion, Tennessee may consider requests received after the close of the open season period.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bCs/>
          <w:i/>
          <w:i/>
          <w:iCs/>
          <w:sz w:val="24"/>
          <w:u w:val="single"/>
        </w:rPr>
      </w:pPr>
      <w:r>
        <w:rPr>
          <w:rFonts w:cs="Arial" w:ascii="Arial" w:hAnsi="Arial"/>
          <w:b/>
          <w:bCs/>
          <w:i/>
          <w:iCs/>
          <w:sz w:val="24"/>
          <w:u w:val="single"/>
        </w:rPr>
      </w:r>
    </w:p>
    <w:p>
      <w:pPr>
        <w:pStyle w:val="Normal"/>
        <w:rPr>
          <w:rFonts w:ascii="Arial" w:hAnsi="Arial" w:cs="Arial"/>
          <w:b/>
          <w:bCs/>
          <w:i/>
          <w:i/>
          <w:iCs/>
          <w:sz w:val="24"/>
          <w:u w:val="single"/>
        </w:rPr>
      </w:pPr>
      <w:r>
        <w:rPr>
          <w:rFonts w:cs="Arial" w:ascii="Arial" w:hAnsi="Arial"/>
          <w:b/>
          <w:bCs/>
          <w:i/>
          <w:iCs/>
          <w:sz w:val="24"/>
          <w:u w:val="single"/>
        </w:rPr>
      </w:r>
    </w:p>
    <w:p>
      <w:pPr>
        <w:pStyle w:val="Normal"/>
        <w:rPr>
          <w:rFonts w:ascii="Arial" w:hAnsi="Arial" w:cs="Arial"/>
          <w:b/>
          <w:bCs/>
          <w:i/>
          <w:i/>
          <w:iCs/>
          <w:sz w:val="24"/>
          <w:u w:val="single"/>
        </w:rPr>
      </w:pPr>
      <w:r>
        <w:rPr>
          <w:rFonts w:cs="Arial" w:ascii="Arial" w:hAnsi="Arial"/>
          <w:b/>
          <w:bCs/>
          <w:i/>
          <w:iCs/>
          <w:sz w:val="24"/>
          <w:u w:val="single"/>
        </w:rPr>
        <w:t>PROJECT SCOPE:</w:t>
      </w:r>
    </w:p>
    <w:p>
      <w:pPr>
        <w:pStyle w:val="Normal"/>
        <w:jc w:val="both"/>
        <w:rPr>
          <w:rFonts w:ascii="Arial" w:hAnsi="Arial" w:cs="Arial"/>
          <w:sz w:val="24"/>
        </w:rPr>
      </w:pPr>
      <w:r>
        <w:rPr>
          <w:rFonts w:cs="Arial" w:ascii="Arial" w:hAnsi="Arial"/>
          <w:sz w:val="24"/>
        </w:rPr>
        <w:t xml:space="preserve">Tennessee Gas Pipeline Company (“Tennessee”) contemplates that the Project may involve the construction of new pipeline facilities necessary to deliver incremental volumes into Northern Mexico at either: (1) Tennessee’s existing interconnect with Pemex Gas y Petroquimica Basica located near Reynosa, Mexico, or (2) a new interconnection between Tennessee and a new proposed open access pipeline in Northern Mexico to be located east of Tennessee’s existing interconnect with Pemex Gas y Petroquimica Basica.  Upon request, Tennessee may also consider other delivery points located elsewhere on Tennessee’s system in South Texas.  </w:t>
      </w:r>
    </w:p>
    <w:p>
      <w:pPr>
        <w:pStyle w:val="Normal"/>
        <w:jc w:val="both"/>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Depending upon the receipt and delivery points on Tennessee’s system chosen by shippers and subject to Tennessee’s FERC Gas Tariff, the expansion capacity may be combined with other generally available capacity on Tennessee’s system or additional expansion capacity to enable Tennessee to meet Shippers’ requests.</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Tennessee reserves the right, in its sole discretion, to limit the scope of this Project in order to render the overall Project, or any portion thereof, economic.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rPr>
      </w:pPr>
      <w:r>
        <w:rPr>
          <w:rFonts w:cs="Arial" w:ascii="Arial" w:hAnsi="Arial"/>
        </w:rPr>
      </w:r>
    </w:p>
    <w:p>
      <w:pPr>
        <w:pStyle w:val="Heading1"/>
        <w:ind w:hanging="0" w:start="0"/>
        <w:rPr>
          <w:rFonts w:ascii="Arial" w:hAnsi="Arial" w:cs="Arial"/>
          <w:i/>
          <w:i/>
          <w:sz w:val="24"/>
        </w:rPr>
      </w:pPr>
      <w:r>
        <w:rPr>
          <w:rFonts w:cs="Arial" w:ascii="Arial" w:hAnsi="Arial"/>
          <w:i/>
          <w:sz w:val="24"/>
        </w:rPr>
        <w:t>PROJECT TIMING:</w:t>
      </w:r>
    </w:p>
    <w:p>
      <w:pPr>
        <w:pStyle w:val="Normal"/>
        <w:rPr>
          <w:rFonts w:ascii="Arial" w:hAnsi="Arial" w:cs="Arial"/>
          <w:i/>
          <w:i/>
          <w:sz w:val="24"/>
        </w:rPr>
      </w:pPr>
      <w:r>
        <w:rPr>
          <w:rFonts w:cs="Arial" w:ascii="Arial" w:hAnsi="Arial"/>
          <w:i/>
          <w:sz w:val="24"/>
        </w:rPr>
      </w:r>
    </w:p>
    <w:p>
      <w:pPr>
        <w:pStyle w:val="Normal"/>
        <w:rPr>
          <w:rFonts w:ascii="Arial" w:hAnsi="Arial" w:cs="Arial"/>
          <w:sz w:val="24"/>
        </w:rPr>
      </w:pPr>
      <w:r>
        <w:rPr>
          <w:rFonts w:cs="Arial" w:ascii="Arial" w:hAnsi="Arial"/>
          <w:sz w:val="24"/>
        </w:rPr>
        <w:t xml:space="preserve">This Project has a planned in-service date of September 2003.  Shippers should communicate specific needs for earlier or later service in their open Season Response Form.  Tennessee will try to accommodate such requests with the possibility of phased construction if feasible. </w:t>
      </w:r>
    </w:p>
    <w:p>
      <w:pPr>
        <w:pStyle w:val="Normal"/>
        <w:rPr>
          <w:rFonts w:ascii="Arial" w:hAnsi="Arial" w:cs="Arial"/>
          <w:sz w:val="24"/>
        </w:rPr>
      </w:pPr>
      <w:r>
        <w:rPr>
          <w:rFonts w:cs="Arial" w:ascii="Arial" w:hAnsi="Arial"/>
          <w:sz w:val="24"/>
        </w:rPr>
      </w:r>
    </w:p>
    <w:p>
      <w:pPr>
        <w:pStyle w:val="Heading1"/>
        <w:ind w:hanging="0" w:start="0"/>
        <w:rPr>
          <w:rFonts w:ascii="Arial" w:hAnsi="Arial" w:cs="Arial"/>
          <w:i/>
          <w:i/>
          <w:sz w:val="24"/>
        </w:rPr>
      </w:pPr>
      <w:r>
        <w:rPr>
          <w:rFonts w:cs="Arial" w:ascii="Arial" w:hAnsi="Arial"/>
          <w:i/>
          <w:sz w:val="24"/>
        </w:rPr>
        <w:t>RATES;</w:t>
      </w:r>
    </w:p>
    <w:p>
      <w:pPr>
        <w:pStyle w:val="Normal"/>
        <w:rPr>
          <w:rFonts w:ascii="Arial" w:hAnsi="Arial" w:cs="Arial"/>
          <w:i/>
          <w:i/>
          <w:sz w:val="24"/>
        </w:rPr>
      </w:pPr>
      <w:r>
        <w:rPr>
          <w:rFonts w:cs="Arial" w:ascii="Arial" w:hAnsi="Arial"/>
          <w:i/>
          <w:sz w:val="24"/>
        </w:rPr>
      </w:r>
    </w:p>
    <w:p>
      <w:pPr>
        <w:pStyle w:val="Normal"/>
        <w:rPr>
          <w:rFonts w:ascii="Arial" w:hAnsi="Arial" w:cs="Arial"/>
          <w:sz w:val="24"/>
        </w:rPr>
      </w:pPr>
      <w:r>
        <w:rPr>
          <w:rFonts w:cs="Arial" w:ascii="Arial" w:hAnsi="Arial"/>
          <w:sz w:val="24"/>
        </w:rPr>
        <w:t xml:space="preserve">Tennessee plans to discuss and mutually agree upon rates as part of the precedent agreement negotiations to be held with parties participating in this non-binding open season. </w:t>
      </w:r>
    </w:p>
    <w:p>
      <w:pPr>
        <w:pStyle w:val="Normal"/>
        <w:rPr>
          <w:rFonts w:ascii="Arial" w:hAnsi="Arial" w:cs="Arial"/>
          <w:sz w:val="24"/>
        </w:rPr>
      </w:pPr>
      <w:r>
        <w:rPr>
          <w:rFonts w:cs="Arial" w:ascii="Arial" w:hAnsi="Arial"/>
          <w:sz w:val="24"/>
        </w:rPr>
      </w:r>
    </w:p>
    <w:p>
      <w:pPr>
        <w:pStyle w:val="Heading1"/>
        <w:ind w:hanging="0" w:start="0"/>
        <w:rPr>
          <w:rFonts w:ascii="Arial" w:hAnsi="Arial" w:cs="Arial"/>
          <w:i/>
          <w:i/>
          <w:sz w:val="24"/>
        </w:rPr>
      </w:pPr>
      <w:r>
        <w:rPr>
          <w:rFonts w:cs="Arial" w:ascii="Arial" w:hAnsi="Arial"/>
          <w:i/>
          <w:sz w:val="24"/>
        </w:rPr>
        <w:t>CONTRACT TERM:</w:t>
      </w:r>
    </w:p>
    <w:p>
      <w:pPr>
        <w:pStyle w:val="Normal"/>
        <w:rPr>
          <w:rFonts w:ascii="Arial" w:hAnsi="Arial" w:cs="Arial"/>
          <w:i/>
          <w:i/>
          <w:sz w:val="24"/>
        </w:rPr>
      </w:pPr>
      <w:r>
        <w:rPr>
          <w:rFonts w:cs="Arial" w:ascii="Arial" w:hAnsi="Arial"/>
          <w:i/>
          <w:sz w:val="24"/>
        </w:rPr>
      </w:r>
    </w:p>
    <w:p>
      <w:pPr>
        <w:pStyle w:val="Normal"/>
        <w:rPr>
          <w:rFonts w:ascii="Arial" w:hAnsi="Arial" w:cs="Arial"/>
          <w:sz w:val="24"/>
        </w:rPr>
      </w:pPr>
      <w:r>
        <w:rPr>
          <w:rFonts w:cs="Arial" w:ascii="Arial" w:hAnsi="Arial"/>
          <w:sz w:val="24"/>
        </w:rPr>
        <w:t>Since the Project will likely involve capital expenditures and the construction of facilities by Tennessee, requests must be for a minimum of ten  (10) years and cannot exceed the maximum term of twenty (20) years.  Service requests must be made for periods of whole years only.</w:t>
      </w:r>
    </w:p>
    <w:p>
      <w:pPr>
        <w:pStyle w:val="Normal"/>
        <w:rPr>
          <w:rFonts w:ascii="Arial" w:hAnsi="Arial" w:cs="Arial"/>
          <w:sz w:val="24"/>
        </w:rPr>
      </w:pPr>
      <w:r>
        <w:rPr>
          <w:rFonts w:cs="Arial" w:ascii="Arial" w:hAnsi="Arial"/>
          <w:sz w:val="24"/>
        </w:rPr>
      </w:r>
    </w:p>
    <w:p>
      <w:pPr>
        <w:pStyle w:val="Heading1"/>
        <w:ind w:hanging="0" w:start="0"/>
        <w:rPr>
          <w:rFonts w:ascii="Arial" w:hAnsi="Arial" w:cs="Arial"/>
          <w:i/>
          <w:i/>
          <w:sz w:val="24"/>
        </w:rPr>
      </w:pPr>
      <w:r>
        <w:rPr>
          <w:rFonts w:cs="Arial" w:ascii="Arial" w:hAnsi="Arial"/>
          <w:i/>
          <w:sz w:val="24"/>
        </w:rPr>
        <w:t>SERVICE REQUEST PROCESS:</w:t>
      </w:r>
    </w:p>
    <w:p>
      <w:pPr>
        <w:pStyle w:val="Normal"/>
        <w:rPr>
          <w:rFonts w:ascii="Arial" w:hAnsi="Arial" w:cs="Arial"/>
          <w:i/>
          <w:i/>
          <w:sz w:val="24"/>
        </w:rPr>
      </w:pPr>
      <w:r>
        <w:rPr>
          <w:rFonts w:cs="Arial" w:ascii="Arial" w:hAnsi="Arial"/>
          <w:i/>
          <w:sz w:val="24"/>
        </w:rPr>
      </w:r>
    </w:p>
    <w:p>
      <w:pPr>
        <w:pStyle w:val="BodyText"/>
        <w:rPr/>
      </w:pPr>
      <w:r>
        <w:rPr/>
        <w:t>Completed Open Season Request Forms must be received by Tennessee by 5:00 CST on July 20, 2001.  Forms must be submitted by facsimile.  Tennessee will acknowledge receipt of all requests.  Tennessee’s review will be performed as quickly as possible in light of the fact that this is an expansion project.  Tennessee anticipates that by August 15, 2001, it will notify participants of their status relating to the Project.  Tennessee reserves the right to reject any request which is not complete, which contains modifications to the terms of the Request Form, which conflicts with Tennessee’s tariff or which is outside the scope of this Project, as determined by Tennessee in Tennessee’s sole discretion.  Further, Tennessee will not accept requests with deviations in monthly MDQ’s.  This open season is subject to Tennessee’s tariff and to all applicable laws, orders, rules and regulations of authorities having jurisdiction.</w:t>
      </w:r>
    </w:p>
    <w:p>
      <w:pPr>
        <w:pStyle w:val="Normal"/>
        <w:rPr>
          <w:rFonts w:ascii="Arial" w:hAnsi="Arial" w:cs="Arial"/>
          <w:sz w:val="24"/>
        </w:rPr>
      </w:pPr>
      <w:r>
        <w:rPr>
          <w:rFonts w:cs="Arial" w:ascii="Arial" w:hAnsi="Arial"/>
          <w:sz w:val="24"/>
        </w:rPr>
      </w:r>
    </w:p>
    <w:p>
      <w:pPr>
        <w:pStyle w:val="Heading1"/>
        <w:ind w:hanging="0" w:start="0"/>
        <w:rPr>
          <w:rFonts w:ascii="Arial" w:hAnsi="Arial" w:cs="Arial"/>
          <w:sz w:val="24"/>
        </w:rPr>
      </w:pPr>
      <w:r>
        <w:rPr>
          <w:rFonts w:cs="Arial" w:ascii="Arial" w:hAnsi="Arial"/>
          <w:sz w:val="24"/>
        </w:rPr>
        <w:t>RELATED OPEN SEASONS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conjunction with the Project, Tennessee may conduct a separate open season in order to solicit capacity turnbacks from existing customers on the portions of Tennessee’s system that will be used and useful for the Project.  The final design of the Project will be based in part on the results of the capacity turnback open season.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rFonts w:ascii="Arial" w:hAnsi="Arial" w:cs="Arial"/>
          <w:i/>
          <w:i/>
          <w:sz w:val="24"/>
        </w:rPr>
      </w:pPr>
      <w:r>
        <w:rPr>
          <w:rFonts w:cs="Arial" w:ascii="Arial" w:hAnsi="Arial"/>
          <w:i/>
          <w:sz w:val="24"/>
        </w:rPr>
        <w:t>CREDITWORTHINESS:</w:t>
      </w:r>
    </w:p>
    <w:p>
      <w:pPr>
        <w:pStyle w:val="Normal"/>
        <w:rPr>
          <w:rFonts w:ascii="Arial" w:hAnsi="Arial" w:cs="Arial"/>
          <w:i/>
          <w:i/>
          <w:sz w:val="24"/>
        </w:rPr>
      </w:pPr>
      <w:r>
        <w:rPr>
          <w:rFonts w:cs="Arial" w:ascii="Arial" w:hAnsi="Arial"/>
          <w:i/>
          <w:sz w:val="24"/>
        </w:rPr>
      </w:r>
    </w:p>
    <w:p>
      <w:pPr>
        <w:pStyle w:val="Normal"/>
        <w:rPr>
          <w:rFonts w:ascii="Arial" w:hAnsi="Arial" w:cs="Arial"/>
          <w:sz w:val="24"/>
        </w:rPr>
      </w:pPr>
      <w:r>
        <w:rPr>
          <w:rFonts w:cs="Arial" w:ascii="Arial" w:hAnsi="Arial"/>
          <w:sz w:val="24"/>
        </w:rPr>
        <w:t xml:space="preserve">In order to complete the execution of a binding precedent agreement, shippers must meet certain minimum financial criteria. Ratings of shipper’s long term bonds or commercial paper by major rating agencies will be considered, as will financial statements, bank references, guarantees, letters of credit or other demonstration of financial strength which are satisfactory to Tennessee.  Tennessee reserves the right to request additional credit information. </w:t>
      </w:r>
    </w:p>
    <w:p>
      <w:pPr>
        <w:pStyle w:val="Normal"/>
        <w:rPr>
          <w:rFonts w:ascii="Arial" w:hAnsi="Arial" w:cs="Arial"/>
          <w:sz w:val="24"/>
        </w:rPr>
      </w:pPr>
      <w:r>
        <w:rPr>
          <w:rFonts w:cs="Arial" w:ascii="Arial" w:hAnsi="Arial"/>
          <w:sz w:val="24"/>
        </w:rPr>
      </w:r>
    </w:p>
    <w:p>
      <w:pPr>
        <w:pStyle w:val="Heading1"/>
        <w:ind w:hanging="0" w:start="0"/>
        <w:rPr>
          <w:rFonts w:ascii="Arial" w:hAnsi="Arial" w:cs="Arial"/>
          <w:i/>
          <w:i/>
          <w:sz w:val="24"/>
        </w:rPr>
      </w:pPr>
      <w:r>
        <w:rPr>
          <w:rFonts w:cs="Arial" w:ascii="Arial" w:hAnsi="Arial"/>
          <w:i/>
          <w:sz w:val="24"/>
        </w:rPr>
        <w:t>CONTACTS:</w:t>
      </w:r>
    </w:p>
    <w:p>
      <w:pPr>
        <w:pStyle w:val="Normal"/>
        <w:rPr>
          <w:rFonts w:ascii="Arial" w:hAnsi="Arial" w:cs="Arial"/>
          <w:i/>
          <w:i/>
          <w:sz w:val="24"/>
        </w:rPr>
      </w:pPr>
      <w:r>
        <w:rPr>
          <w:rFonts w:cs="Arial" w:ascii="Arial" w:hAnsi="Arial"/>
          <w:i/>
          <w:sz w:val="24"/>
        </w:rPr>
      </w:r>
    </w:p>
    <w:p>
      <w:pPr>
        <w:pStyle w:val="Normal"/>
        <w:rPr>
          <w:rFonts w:ascii="Arial" w:hAnsi="Arial" w:cs="Arial"/>
          <w:sz w:val="24"/>
        </w:rPr>
      </w:pPr>
      <w:r>
        <w:rPr>
          <w:rFonts w:cs="Arial" w:ascii="Arial" w:hAnsi="Arial"/>
          <w:sz w:val="24"/>
        </w:rPr>
        <w:t>Additional information regarding this open season can be obtained from your Account Manager or from:</w:t>
      </w:r>
    </w:p>
    <w:p>
      <w:pPr>
        <w:pStyle w:val="Normal"/>
        <w:rPr>
          <w:rFonts w:ascii="Arial" w:hAnsi="Arial" w:cs="Arial"/>
          <w:sz w:val="24"/>
        </w:rPr>
      </w:pPr>
      <w:r>
        <w:rPr>
          <w:rFonts w:cs="Arial" w:ascii="Arial" w:hAnsi="Arial"/>
          <w:sz w:val="24"/>
        </w:rPr>
      </w:r>
    </w:p>
    <w:tbl>
      <w:tblPr>
        <w:tblpPr w:vertAnchor="text" w:horzAnchor="text" w:leftFromText="180" w:rightFromText="180" w:tblpX="648" w:tblpY="1"/>
        <w:tblOverlap w:val="never"/>
        <w:tblW w:w="8010" w:type="dxa"/>
        <w:jc w:val="start"/>
        <w:tblInd w:w="108" w:type="dxa"/>
        <w:tblLayout w:type="fixed"/>
        <w:tblCellMar>
          <w:top w:w="0" w:type="dxa"/>
          <w:start w:w="108" w:type="dxa"/>
          <w:bottom w:w="0" w:type="dxa"/>
          <w:end w:w="108" w:type="dxa"/>
        </w:tblCellMar>
      </w:tblPr>
      <w:tblGrid>
        <w:gridCol w:w="3870"/>
        <w:gridCol w:w="4140"/>
      </w:tblGrid>
      <w:tr>
        <w:trPr/>
        <w:tc>
          <w:tcPr>
            <w:tcW w:w="3870" w:type="dxa"/>
            <w:tcBorders/>
          </w:tcPr>
          <w:p>
            <w:pPr>
              <w:pStyle w:val="Normal"/>
              <w:rPr>
                <w:rFonts w:ascii="Arial" w:hAnsi="Arial" w:cs="Arial"/>
                <w:sz w:val="24"/>
              </w:rPr>
            </w:pPr>
            <w:r>
              <w:rPr>
                <w:rFonts w:cs="Arial" w:ascii="Arial" w:hAnsi="Arial"/>
                <w:sz w:val="24"/>
              </w:rPr>
              <w:t>Preston Troutman</w:t>
            </w:r>
          </w:p>
          <w:p>
            <w:pPr>
              <w:pStyle w:val="Normal"/>
              <w:rPr>
                <w:rFonts w:ascii="Arial" w:hAnsi="Arial" w:cs="Arial"/>
                <w:sz w:val="24"/>
              </w:rPr>
            </w:pPr>
            <w:r>
              <w:rPr>
                <w:rFonts w:cs="Arial" w:ascii="Arial" w:hAnsi="Arial"/>
                <w:sz w:val="24"/>
              </w:rPr>
              <w:t>TGP Marketing Manager</w:t>
            </w:r>
          </w:p>
          <w:p>
            <w:pPr>
              <w:pStyle w:val="Normal"/>
              <w:rPr>
                <w:rFonts w:ascii="Arial" w:hAnsi="Arial" w:cs="Arial"/>
                <w:sz w:val="24"/>
              </w:rPr>
            </w:pPr>
            <w:r>
              <w:rPr>
                <w:rFonts w:cs="Arial" w:ascii="Arial" w:hAnsi="Arial"/>
                <w:sz w:val="24"/>
              </w:rPr>
              <w:t>(832) 676-5191  phone</w:t>
            </w:r>
          </w:p>
          <w:p>
            <w:pPr>
              <w:pStyle w:val="Normal"/>
              <w:rPr>
                <w:rFonts w:ascii="Arial" w:hAnsi="Arial" w:cs="Arial"/>
                <w:sz w:val="24"/>
              </w:rPr>
            </w:pPr>
            <w:r>
              <w:rPr>
                <w:rFonts w:cs="Arial" w:ascii="Arial" w:hAnsi="Arial"/>
                <w:sz w:val="24"/>
              </w:rPr>
              <w:t>(832) 676-1864  fax</w:t>
            </w:r>
          </w:p>
          <w:p>
            <w:pPr>
              <w:pStyle w:val="Normal"/>
              <w:rPr>
                <w:rFonts w:ascii="Arial" w:hAnsi="Arial" w:cs="Arial"/>
                <w:sz w:val="24"/>
              </w:rPr>
            </w:pPr>
            <w:r>
              <w:rPr>
                <w:rFonts w:cs="Arial" w:ascii="Arial" w:hAnsi="Arial"/>
                <w:sz w:val="24"/>
              </w:rPr>
              <w:t>Preston. Troutman@elpaso.com</w:t>
            </w:r>
          </w:p>
        </w:tc>
        <w:tc>
          <w:tcPr>
            <w:tcW w:w="4140" w:type="dxa"/>
            <w:tcBorders/>
          </w:tcPr>
          <w:p>
            <w:pPr>
              <w:pStyle w:val="Normal"/>
              <w:snapToGrid w:val="false"/>
              <w:rPr>
                <w:rFonts w:ascii="Arial" w:hAnsi="Arial" w:cs="Arial"/>
                <w:sz w:val="24"/>
              </w:rPr>
            </w:pPr>
            <w:r>
              <w:rPr>
                <w:rFonts w:cs="Arial" w:ascii="Arial" w:hAnsi="Arial"/>
                <w:sz w:val="24"/>
              </w:rPr>
            </w:r>
          </w:p>
        </w:tc>
      </w:tr>
    </w:tbl>
    <w:p>
      <w:pPr>
        <w:pStyle w:val="Normal"/>
        <w:rPr>
          <w:rFonts w:ascii="Arial" w:hAnsi="Arial" w:cs="Arial"/>
          <w:sz w:val="24"/>
        </w:rPr>
      </w:pPr>
      <w:r/>
      <w:r>
        <w:rPr>
          <w:rFonts w:cs="Arial" w:ascii="Arial" w:hAnsi="Arial"/>
          <w:sz w:val="24"/>
        </w:rPr>
        <w:br w:type="textWrapping" w:clear="all"/>
      </w:r>
    </w:p>
    <w:sectPr>
      <w:type w:val="nextPage"/>
      <w:pgSz w:w="12240" w:h="15840"/>
      <w:pgMar w:left="180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rFonts w:ascii="Arial" w:hAnsi="Arial" w:cs="Arial"/>
      <w:b/>
    </w:rPr>
  </w:style>
  <w:style w:type="paragraph" w:styleId="Heading3">
    <w:name w:val="heading 3"/>
    <w:basedOn w:val="Normal"/>
    <w:next w:val="Normal"/>
    <w:qFormat/>
    <w:pPr>
      <w:keepNext w:val="true"/>
      <w:numPr>
        <w:ilvl w:val="2"/>
        <w:numId w:val="1"/>
      </w:numPr>
      <w:ind w:hanging="0" w:start="1440" w:end="0"/>
      <w:outlineLvl w:val="2"/>
    </w:pPr>
    <w:rPr>
      <w:rFonts w:ascii="Helvetica" w:hAnsi="Helvetica" w:cs="Helvetica"/>
      <w:b/>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2001-09-27T14:50:00Z</dcterms:created>
  <dc:creator>Rob Haas</dc:creator>
  <dc:description/>
  <dc:language>en-CA</dc:language>
  <cp:lastModifiedBy>El Paso Energy Corp</cp:lastModifiedBy>
  <cp:lastPrinted>2001-07-06T15:49:00Z</cp:lastPrinted>
  <dcterms:modified xsi:type="dcterms:W3CDTF">2001-11-19T14:33:00Z</dcterms:modified>
  <cp:revision>5</cp:revision>
  <dc:subject/>
  <dc:title>Tennessee Gas Pipeline Company</dc:title>
</cp:coreProperties>
</file>