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MARKETING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MARKETING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Energy Marketing Corp. ("EEMC")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EEMC for direct access customers located in PG&amp;E's service territory.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EEMC, and has that energy delivered to it over transmission and distribution lines owned by the local utilities, such as PG&amp;E.  As part of the Direct Access Program, EEMC executed an "Energy Service Provider Service Agreement", a copy of which is attached as Exhibit A.  Section 1.1 of that agreement states that the agreement governs "the business relationship" between PG&amp;E and EEMC.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EEMC)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order for Direct Access to work, the CPUC, in decision No. 97-08-056, determined that, since nearly all wholesale energy procurement transactions under Direct Access in California were intended to take place through the California Power Exchange (the "PX"), Direct Access customers would receive a credit, commonly referred to as the "PX Credit", until March 31, 2002, the date determined by the CPUC that the Frozen Tariff Rate will 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EEMC’s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estimates that PG&amp;E owed EEMC approximately $164,029,412.39 in cumulative unpaid credit balances as of April 6, 2001.  EEMC therefore asserts a claim against PG&amp;E in the amount of approximately $165.5 million, plus pre-petition interest and costs as well as post-petition interest, costs and other charges to the extent allowable pursuant to 11 U.S.C. section 506(b). Additionally, EEMC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has a right to recoup the cumulative unpaid credit balances against future transmission, distribution and other charges owed by it to PG&amp;E which arise under the Energy Services Provider Agreement attached as Exhibit 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color w:val="000000"/>
        </w:rPr>
      </w:pPr>
      <w:r>
        <w:rPr>
          <w:color w:val="000000"/>
        </w:rPr>
        <w:tab/>
        <w:t>This proof of claim shall not constitute a waiver of any rights that EEMC may have under the applicable tariffs and other applicable law to insist on determination of these obligations and any potential counter-claims before a jury, arbitrator or other decisionmaker.  EEMC reserves the right to amend this proof of claim to describe the claim, including, without limitation, the amount thereof, with more particularity after additional information sufficient to support such amendment becomes known.  In addition, EEMC reserves the right to amend this proof of claim to assert any counter-claims it may have against PG&amp;E in the event PG&amp;E asserts claims against it.  EEMC further reserves any and all rights of offset, recoupment or other similar right which it might have under any applicable contract or law.</w:t>
      </w:r>
      <w:r>
        <w:br w:type="page"/>
      </w:r>
    </w:p>
    <w:p>
      <w:pPr>
        <w:pStyle w:val="PlainText"/>
        <w:rPr/>
      </w:pPr>
      <w:r>
        <w:rPr>
          <w:rFonts w:cs="Times New Roman" w:ascii="Times New Roman" w:hAnsi="Times New Roman"/>
          <w:color w:val="000000"/>
          <w:sz w:val="24"/>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ab/>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N3~"Customer Name"</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PlainText"/>
        <w:tabs>
          <w:tab w:val="clear" w:pos="720"/>
          <w:tab w:val="left" w:pos="99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159587.2 02618 00125 8/31/01 2:25:58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2001-08-30T22:02:00Z</dcterms:created>
  <dc:creator>LeBoeuf, Lamb, Greene &amp; MacRae, L.L.P.</dc:creator>
  <dc:description/>
  <cp:keywords>SF 159587.2 02618 00125 8/31/01 2:25:58 PM</cp:keywords>
  <dc:language>en-CA</dc:language>
  <cp:lastModifiedBy>LeBoeuf, Lamb, Greene &amp; MacRae, L.L.P.</cp:lastModifiedBy>
  <cp:lastPrinted>2001-08-31T14:25:00Z</cp:lastPrinted>
  <dcterms:modified xsi:type="dcterms:W3CDTF">2001-08-31T20:59:00Z</dcterms:modified>
  <cp:revision>18</cp:revision>
  <dc:subject/>
  <dc:title>Heading 1</dc:title>
</cp:coreProperties>
</file>