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Enron/Riverside Waste County Management</w:t>
      </w:r>
    </w:p>
    <w:p>
      <w:pPr>
        <w:pStyle w:val="Heading"/>
        <w:rPr/>
      </w:pPr>
      <w:r>
        <w:rPr/>
        <w:t>Contract Amendment Proposal</w:t>
      </w:r>
    </w:p>
    <w:p>
      <w:pPr>
        <w:pStyle w:val="Normal"/>
        <w:jc w:val="both"/>
        <w:rPr/>
      </w:pPr>
      <w:r>
        <w:rPr/>
      </w:r>
    </w:p>
    <w:p>
      <w:pPr>
        <w:pStyle w:val="Subtitle"/>
        <w:numPr>
          <w:ilvl w:val="0"/>
          <w:numId w:val="3"/>
        </w:numPr>
        <w:tabs>
          <w:tab w:val="clear" w:pos="720"/>
          <w:tab w:val="left" w:pos="360" w:leader="none"/>
        </w:tabs>
        <w:ind w:hanging="720" w:start="720" w:end="0"/>
        <w:jc w:val="start"/>
        <w:rPr/>
      </w:pPr>
      <w:r>
        <w:rPr/>
        <w:t>Amendment Overview</w:t>
      </w:r>
    </w:p>
    <w:p>
      <w:pPr>
        <w:pStyle w:val="Subtitle"/>
        <w:jc w:val="start"/>
        <w:rPr/>
      </w:pPr>
      <w:r>
        <w:rPr/>
      </w:r>
    </w:p>
    <w:p>
      <w:pPr>
        <w:pStyle w:val="Subtitle"/>
        <w:numPr>
          <w:ilvl w:val="1"/>
          <w:numId w:val="3"/>
        </w:numPr>
        <w:tabs>
          <w:tab w:val="left" w:pos="720" w:leader="none"/>
        </w:tabs>
        <w:ind w:hanging="360" w:start="720" w:end="0"/>
        <w:jc w:val="start"/>
        <w:rPr>
          <w:b w:val="false"/>
          <w:bCs w:val="false"/>
        </w:rPr>
      </w:pPr>
      <w:r>
        <w:rPr>
          <w:b w:val="false"/>
          <w:bCs w:val="false"/>
        </w:rPr>
        <w:t>EPMI would replace Enron Energy Services, Inc., as buyer of energy.</w:t>
      </w:r>
    </w:p>
    <w:p>
      <w:pPr>
        <w:pStyle w:val="Subtitle"/>
        <w:numPr>
          <w:ilvl w:val="1"/>
          <w:numId w:val="3"/>
        </w:numPr>
        <w:tabs>
          <w:tab w:val="left" w:pos="720" w:leader="none"/>
        </w:tabs>
        <w:ind w:hanging="360" w:start="720" w:end="0"/>
        <w:jc w:val="start"/>
        <w:rPr>
          <w:b w:val="false"/>
          <w:bCs w:val="false"/>
        </w:rPr>
      </w:pPr>
      <w:r>
        <w:rPr>
          <w:b w:val="false"/>
          <w:bCs w:val="false"/>
        </w:rPr>
        <w:t>Riverside to re-establish, on a one-time basis, the output level for future deliveries of energy from each of the generation facilities and set new start date for each generation facility.</w:t>
      </w:r>
    </w:p>
    <w:p>
      <w:pPr>
        <w:pStyle w:val="Subtitle"/>
        <w:numPr>
          <w:ilvl w:val="1"/>
          <w:numId w:val="3"/>
        </w:numPr>
        <w:tabs>
          <w:tab w:val="left" w:pos="720" w:leader="none"/>
        </w:tabs>
        <w:ind w:hanging="360" w:start="720" w:end="0"/>
        <w:jc w:val="start"/>
        <w:rPr>
          <w:b w:val="false"/>
          <w:bCs w:val="false"/>
        </w:rPr>
      </w:pPr>
      <w:r>
        <w:rPr>
          <w:b w:val="false"/>
          <w:bCs w:val="false"/>
        </w:rPr>
        <w:t>If any generation facility comes on sooner than the new start date for that generation facility, or if any generation is available in excess of the contract quantity, such energy will be sold to EPMI at 80% of the Dow Jones index price.</w:t>
      </w:r>
    </w:p>
    <w:p>
      <w:pPr>
        <w:pStyle w:val="Subtitle"/>
        <w:numPr>
          <w:ilvl w:val="1"/>
          <w:numId w:val="3"/>
        </w:numPr>
        <w:tabs>
          <w:tab w:val="left" w:pos="720" w:leader="none"/>
        </w:tabs>
        <w:ind w:hanging="360" w:start="720" w:end="0"/>
        <w:jc w:val="start"/>
        <w:rPr>
          <w:b w:val="false"/>
          <w:bCs w:val="false"/>
        </w:rPr>
      </w:pPr>
      <w:r>
        <w:rPr>
          <w:b w:val="false"/>
          <w:bCs w:val="false"/>
        </w:rPr>
        <w:t>If any generation facility comes on later than the new start date for that generation facility, then replacement energy will be provided by Riverside at 120% of the Dow Jones index price.</w:t>
      </w:r>
    </w:p>
    <w:p>
      <w:pPr>
        <w:pStyle w:val="Subtitle"/>
        <w:numPr>
          <w:ilvl w:val="1"/>
          <w:numId w:val="3"/>
        </w:numPr>
        <w:tabs>
          <w:tab w:val="left" w:pos="720" w:leader="none"/>
        </w:tabs>
        <w:ind w:hanging="360" w:start="720" w:end="0"/>
        <w:jc w:val="start"/>
        <w:rPr>
          <w:b w:val="false"/>
          <w:bCs w:val="false"/>
        </w:rPr>
      </w:pPr>
      <w:r>
        <w:rPr>
          <w:b w:val="false"/>
          <w:bCs w:val="false"/>
        </w:rPr>
        <w:t>Scheduling procedure is modified so that Riverside shall provide pre-schedule(s) to EPMI for each day.</w:t>
      </w:r>
    </w:p>
    <w:p>
      <w:pPr>
        <w:pStyle w:val="Subtitle"/>
        <w:numPr>
          <w:ilvl w:val="2"/>
          <w:numId w:val="3"/>
        </w:numPr>
        <w:tabs>
          <w:tab w:val="clear" w:pos="720"/>
          <w:tab w:val="left" w:pos="1080" w:leader="none"/>
        </w:tabs>
        <w:ind w:hanging="360" w:start="1080" w:end="0"/>
        <w:jc w:val="start"/>
        <w:rPr>
          <w:b w:val="false"/>
          <w:bCs w:val="false"/>
        </w:rPr>
      </w:pPr>
      <w:r>
        <w:rPr>
          <w:b w:val="false"/>
          <w:bCs w:val="false"/>
        </w:rPr>
        <w:t>The pre-schedule must have the same quantity for all on-peak hours; if schedule for off-peak hours is different than on-peak hours then same quantity must be scheduled for all off-peak hours.  On-peak is defined as the 16 hour block (HE700 – HE2200) Monday thru Saturday; off-peak is defined as the 8 hour block (HE0100 – HE0600 &amp; HE2300 – HE2400) Monday thru Saturday and (HE0100 – HE2400) Sunday (other than on-peak hours).</w:t>
      </w:r>
    </w:p>
    <w:p>
      <w:pPr>
        <w:pStyle w:val="Subtitle"/>
        <w:numPr>
          <w:ilvl w:val="2"/>
          <w:numId w:val="3"/>
        </w:numPr>
        <w:tabs>
          <w:tab w:val="clear" w:pos="720"/>
          <w:tab w:val="left" w:pos="1080" w:leader="none"/>
        </w:tabs>
        <w:ind w:hanging="360" w:start="1080" w:end="0"/>
        <w:jc w:val="start"/>
        <w:rPr>
          <w:b w:val="false"/>
          <w:bCs w:val="false"/>
        </w:rPr>
      </w:pPr>
      <w:r>
        <w:rPr>
          <w:b w:val="false"/>
          <w:bCs w:val="false"/>
        </w:rPr>
        <w:t xml:space="preserve">Scheduled quantities must be in whole megawatts; EPMI will attempt to accommodate scheduled quantities that are not in whole megawatts. </w:t>
      </w:r>
    </w:p>
    <w:p>
      <w:pPr>
        <w:pStyle w:val="Subtitle"/>
        <w:numPr>
          <w:ilvl w:val="2"/>
          <w:numId w:val="3"/>
        </w:numPr>
        <w:tabs>
          <w:tab w:val="clear" w:pos="720"/>
          <w:tab w:val="left" w:pos="1080" w:leader="none"/>
        </w:tabs>
        <w:ind w:hanging="360" w:start="1080" w:end="0"/>
        <w:jc w:val="start"/>
        <w:rPr>
          <w:b w:val="false"/>
          <w:bCs w:val="false"/>
        </w:rPr>
      </w:pPr>
      <w:r>
        <w:rPr>
          <w:b w:val="false"/>
          <w:bCs w:val="false"/>
        </w:rPr>
        <w:t>The financial impact of deviations from the pre-schedule shall be borne by Riverside. Riverside identifies the fixed and indexed volumes in a pre-schedule and is at risk for hourly deviations from daily pre-schedule.</w:t>
      </w:r>
    </w:p>
    <w:p>
      <w:pPr>
        <w:pStyle w:val="Subtitle"/>
        <w:numPr>
          <w:ilvl w:val="1"/>
          <w:numId w:val="3"/>
        </w:numPr>
        <w:tabs>
          <w:tab w:val="left" w:pos="720" w:leader="none"/>
        </w:tabs>
        <w:ind w:hanging="360" w:start="720" w:end="0"/>
        <w:jc w:val="start"/>
        <w:rPr>
          <w:b w:val="false"/>
          <w:bCs w:val="false"/>
        </w:rPr>
      </w:pPr>
      <w:r>
        <w:rPr>
          <w:b w:val="false"/>
          <w:bCs w:val="false"/>
        </w:rPr>
        <w:t xml:space="preserve">EPMI and Riverside seek a structure that encourages Riverside modify its operations to minimize its operating costs and to maximize generation output during more desirable time periods (i.e. generate more energy on-peak than off- peak).   </w:t>
      </w:r>
    </w:p>
    <w:p>
      <w:pPr>
        <w:pStyle w:val="Subtitle"/>
        <w:numPr>
          <w:ilvl w:val="1"/>
          <w:numId w:val="3"/>
        </w:numPr>
        <w:tabs>
          <w:tab w:val="left" w:pos="720" w:leader="none"/>
        </w:tabs>
        <w:ind w:hanging="360" w:start="720" w:end="0"/>
        <w:jc w:val="start"/>
        <w:rPr>
          <w:b w:val="false"/>
          <w:bCs w:val="false"/>
        </w:rPr>
      </w:pPr>
      <w:r>
        <w:rPr>
          <w:b w:val="false"/>
          <w:bCs w:val="false"/>
        </w:rPr>
        <w:t>EPMI would consider resetting the Contract Price (currently $28.50 MWh, escalated at rate of 2.5% per year) based on adjusted commitments and forward market conditions.</w:t>
      </w:r>
    </w:p>
    <w:p>
      <w:pPr>
        <w:pStyle w:val="Subtitle"/>
        <w:numPr>
          <w:ilvl w:val="1"/>
          <w:numId w:val="3"/>
        </w:numPr>
        <w:tabs>
          <w:tab w:val="left" w:pos="720" w:leader="none"/>
        </w:tabs>
        <w:ind w:hanging="360" w:start="720" w:end="0"/>
        <w:jc w:val="start"/>
        <w:rPr>
          <w:b w:val="false"/>
          <w:bCs w:val="false"/>
        </w:rPr>
      </w:pPr>
      <w:r>
        <w:rPr>
          <w:b w:val="false"/>
          <w:bCs w:val="false"/>
        </w:rPr>
        <w:t>Penalties associated with failure to meet 90% of Expected Energy output on an annual basis would be eliminated.</w:t>
      </w:r>
    </w:p>
    <w:p>
      <w:pPr>
        <w:pStyle w:val="Subtitle"/>
        <w:numPr>
          <w:ilvl w:val="1"/>
          <w:numId w:val="3"/>
        </w:numPr>
        <w:tabs>
          <w:tab w:val="left" w:pos="720" w:leader="none"/>
        </w:tabs>
        <w:ind w:hanging="360" w:start="720" w:end="0"/>
        <w:jc w:val="start"/>
        <w:rPr>
          <w:b w:val="false"/>
          <w:bCs w:val="false"/>
        </w:rPr>
      </w:pPr>
      <w:r>
        <w:rPr>
          <w:b w:val="false"/>
          <w:bCs w:val="false"/>
        </w:rPr>
        <w:t>Provision allowing extension of start date for facilities by 30-days would be eliminated.</w:t>
      </w:r>
    </w:p>
    <w:p>
      <w:pPr>
        <w:pStyle w:val="Subtitle"/>
        <w:ind w:start="1980" w:end="0"/>
        <w:jc w:val="start"/>
        <w:rPr>
          <w:b w:val="false"/>
          <w:bCs w:val="false"/>
        </w:rPr>
      </w:pPr>
      <w:r>
        <w:rPr>
          <w:b w:val="false"/>
          <w:bCs w:val="false"/>
        </w:rPr>
      </w:r>
    </w:p>
    <w:p>
      <w:pPr>
        <w:pStyle w:val="Subtitle"/>
        <w:numPr>
          <w:ilvl w:val="0"/>
          <w:numId w:val="2"/>
        </w:numPr>
        <w:jc w:val="start"/>
        <w:rPr/>
      </w:pPr>
      <w:r>
        <w:rPr/>
        <w:t>Facility Addition Status</w:t>
      </w:r>
    </w:p>
    <w:p>
      <w:pPr>
        <w:pStyle w:val="Subtitle"/>
        <w:jc w:val="start"/>
        <w:rPr/>
      </w:pPr>
      <w:r>
        <w:rPr/>
      </w:r>
    </w:p>
    <w:p>
      <w:pPr>
        <w:pStyle w:val="Normal"/>
        <w:numPr>
          <w:ilvl w:val="1"/>
          <w:numId w:val="2"/>
        </w:numPr>
        <w:ind w:hanging="360" w:start="720" w:end="0"/>
        <w:jc w:val="both"/>
        <w:rPr/>
      </w:pPr>
      <w:r>
        <w:rPr/>
        <w:t>Badlands Landfill Engine 1, 1.234 MW supposed to come on-line September 2000, however did not come on-line until January 2001 and cannot produce at 1.234 MW level for 7x24.</w:t>
      </w:r>
    </w:p>
    <w:p>
      <w:pPr>
        <w:pStyle w:val="Normal"/>
        <w:numPr>
          <w:ilvl w:val="1"/>
          <w:numId w:val="2"/>
        </w:numPr>
        <w:ind w:hanging="360" w:start="720" w:end="0"/>
        <w:jc w:val="both"/>
        <w:rPr/>
      </w:pPr>
      <w:r>
        <w:rPr/>
        <w:t>Badlands Landfill Engine 2, 1.234 MW supposed to come on-line January 2002 and likely will not come on-line at all?</w:t>
      </w:r>
    </w:p>
    <w:p>
      <w:pPr>
        <w:pStyle w:val="Normal"/>
        <w:numPr>
          <w:ilvl w:val="1"/>
          <w:numId w:val="2"/>
        </w:numPr>
        <w:ind w:hanging="360" w:start="720" w:end="0"/>
        <w:jc w:val="both"/>
        <w:rPr/>
      </w:pPr>
      <w:r>
        <w:rPr/>
        <w:t>Edom Hill Landfill, 1.958 MW supposed to come on-line January 2002.</w:t>
      </w:r>
    </w:p>
    <w:p>
      <w:pPr>
        <w:pStyle w:val="Normal"/>
        <w:numPr>
          <w:ilvl w:val="1"/>
          <w:numId w:val="2"/>
        </w:numPr>
        <w:ind w:hanging="360" w:start="720" w:end="0"/>
        <w:jc w:val="both"/>
        <w:rPr/>
      </w:pPr>
      <w:r>
        <w:rPr/>
        <w:t>Lamb Canyon Landfill, 1.053 MW supposed to come on line January 2002.</w:t>
      </w:r>
    </w:p>
    <w:p>
      <w:pPr>
        <w:pStyle w:val="Normal"/>
        <w:numPr>
          <w:ilvl w:val="1"/>
          <w:numId w:val="2"/>
        </w:numPr>
        <w:ind w:hanging="360" w:start="720" w:end="0"/>
        <w:jc w:val="both"/>
        <w:rPr/>
      </w:pPr>
      <w:r>
        <w:rPr/>
        <w:t>Mead Valley Landfill, 0.922 MW supposed to come on-line March 2002 (8 months later).</w:t>
      </w:r>
    </w:p>
    <w:p>
      <w:pPr>
        <w:pStyle w:val="Normal"/>
        <w:numPr>
          <w:ilvl w:val="1"/>
          <w:numId w:val="2"/>
        </w:numPr>
        <w:ind w:hanging="360" w:start="720" w:end="0"/>
        <w:jc w:val="both"/>
        <w:rPr/>
      </w:pPr>
      <w:r>
        <w:rPr/>
        <w:t>Coachella Landfill, 1.186 MW supposed to come on-line July 2001; both parties elect to exclude from contract (Imperial Irrigation District).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360"/>
        </w:tabs>
        <w:ind w:start="360" w:hanging="360"/>
      </w:pPr>
      <w:rPr/>
    </w:lvl>
    <w:lvl w:ilvl="1">
      <w:start w:val="1"/>
      <w:numFmt w:val="decimal"/>
      <w:lvlText w:val="%2."/>
      <w:lvlJc w:val="start"/>
      <w:pPr>
        <w:tabs>
          <w:tab w:val="num" w:pos="720"/>
        </w:tabs>
        <w:ind w:start="720" w:hanging="720"/>
      </w:pPr>
      <w:rPr/>
    </w:lvl>
    <w:lvl w:ilvl="2">
      <w:start w:val="1"/>
      <w:numFmt w:val="decimal"/>
      <w:lvlText w:val="%3."/>
      <w:lvlJc w:val="start"/>
      <w:pPr>
        <w:tabs>
          <w:tab w:val="num" w:pos="1260"/>
        </w:tabs>
        <w:ind w:start="1260" w:hanging="360"/>
      </w:pPr>
      <w:rPr/>
    </w:lvl>
    <w:lvl w:ilvl="3">
      <w:start w:val="1"/>
      <w:numFmt w:val="decimal"/>
      <w:lvlText w:val="%4."/>
      <w:lvlJc w:val="start"/>
      <w:pPr>
        <w:tabs>
          <w:tab w:val="num" w:pos="1800"/>
        </w:tabs>
        <w:ind w:start="1800" w:hanging="360"/>
      </w:pPr>
    </w:lvl>
    <w:lvl w:ilvl="4">
      <w:start w:val="1"/>
      <w:numFmt w:val="lowerLetter"/>
      <w:lvlText w:val="%5."/>
      <w:lvlJc w:val="start"/>
      <w:pPr>
        <w:tabs>
          <w:tab w:val="num" w:pos="2520"/>
        </w:tabs>
        <w:ind w:start="2520" w:hanging="360"/>
      </w:pPr>
    </w:lvl>
    <w:lvl w:ilvl="5">
      <w:start w:val="1"/>
      <w:numFmt w:val="lowerRoman"/>
      <w:lvlText w:val="%6."/>
      <w:lvlJc w:val="end"/>
      <w:pPr>
        <w:tabs>
          <w:tab w:val="num" w:pos="3240"/>
        </w:tabs>
        <w:ind w:start="3240" w:hanging="180"/>
      </w:pPr>
    </w:lvl>
    <w:lvl w:ilvl="6">
      <w:start w:val="1"/>
      <w:numFmt w:val="decimal"/>
      <w:lvlText w:val="%7."/>
      <w:lvlJc w:val="start"/>
      <w:pPr>
        <w:tabs>
          <w:tab w:val="num" w:pos="3960"/>
        </w:tabs>
        <w:ind w:start="3960" w:hanging="360"/>
      </w:pPr>
    </w:lvl>
    <w:lvl w:ilvl="7">
      <w:start w:val="1"/>
      <w:numFmt w:val="lowerLetter"/>
      <w:lvlText w:val="%8."/>
      <w:lvlJc w:val="start"/>
      <w:pPr>
        <w:tabs>
          <w:tab w:val="num" w:pos="4680"/>
        </w:tabs>
        <w:ind w:start="4680" w:hanging="360"/>
      </w:pPr>
    </w:lvl>
    <w:lvl w:ilvl="8">
      <w:start w:val="1"/>
      <w:numFmt w:val="lowerRoman"/>
      <w:lvlText w:val="%9."/>
      <w:lvlJc w:val="end"/>
      <w:pPr>
        <w:tabs>
          <w:tab w:val="num" w:pos="5400"/>
        </w:tabs>
        <w:ind w:start="5400" w:hanging="180"/>
      </w:pPr>
    </w:lvl>
  </w:abstractNum>
  <w:abstractNum w:abstractNumId="3">
    <w:lvl w:ilvl="0">
      <w:start w:val="1"/>
      <w:numFmt w:val="upp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s>
      <w:ind w:hanging="360" w:start="360" w:end="0"/>
      <w:jc w:val="both"/>
      <w:outlineLvl w:val="0"/>
    </w:pPr>
    <w:rPr>
      <w:b/>
      <w:bC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both"/>
    </w:pPr>
    <w:rPr>
      <w:b/>
      <w:bCs/>
    </w:rPr>
  </w:style>
  <w:style w:type="paragraph" w:styleId="BodyTextIndent">
    <w:name w:val="Body Text Indent"/>
    <w:basedOn w:val="Normal"/>
    <w:pPr>
      <w:ind w:hanging="0" w:start="360" w:end="0"/>
      <w:jc w:val="both"/>
    </w:pPr>
    <w:rPr/>
  </w:style>
  <w:style w:type="paragraph" w:styleId="BodyTextIndent2">
    <w:name w:val="Body Text Indent 2"/>
    <w:basedOn w:val="Normal"/>
    <w:qFormat/>
    <w:pPr>
      <w:ind w:hanging="0" w:start="1987"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2001-09-19T15:52:00Z</dcterms:created>
  <dc:creator>rring</dc:creator>
  <dc:description/>
  <dc:language>en-CA</dc:language>
  <cp:lastModifiedBy>cfoster</cp:lastModifiedBy>
  <dcterms:modified xsi:type="dcterms:W3CDTF">2001-09-19T15:52:00Z</dcterms:modified>
  <cp:revision>2</cp:revision>
  <dc:subject/>
  <dc:title>Riverside Waste County Management</dc:title>
</cp:coreProperties>
</file>