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sz w:val="20"/>
          <w:szCs w:val="20"/>
        </w:rPr>
      </w:pPr>
      <w:r>
        <w:rPr>
          <w:sz w:val="20"/>
          <w:szCs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994410" cy="987425"/>
                    </a:xfrm>
                    <a:prstGeom prst="rect">
                      <a:avLst/>
                    </a:prstGeom>
                    <a:noFill/>
                  </pic:spPr>
                </pic:pic>
              </a:graphicData>
            </a:graphic>
          </wp:inline>
        </w:drawing>
      </w:r>
    </w:p>
    <w:p>
      <w:pPr>
        <w:pStyle w:val="Heading"/>
        <w:widowControl/>
        <w:rPr>
          <w:sz w:val="20"/>
          <w:szCs w:val="20"/>
        </w:rPr>
      </w:pPr>
      <w:r>
        <w:rPr>
          <w:sz w:val="20"/>
          <w:szCs w:val="20"/>
        </w:rPr>
      </w:r>
    </w:p>
    <w:tbl>
      <w:tblPr>
        <w:tblW w:w="11233" w:type="dxa"/>
        <w:jc w:val="start"/>
        <w:tblInd w:w="200" w:type="dxa"/>
        <w:tblLayout w:type="fixed"/>
        <w:tblCellMar>
          <w:top w:w="0" w:type="dxa"/>
          <w:start w:w="108" w:type="dxa"/>
          <w:bottom w:w="0" w:type="dxa"/>
          <w:end w:w="108" w:type="dxa"/>
        </w:tblCellMar>
      </w:tblPr>
      <w:tblGrid>
        <w:gridCol w:w="898"/>
        <w:gridCol w:w="6210"/>
        <w:gridCol w:w="1425"/>
        <w:gridCol w:w="2700"/>
      </w:tblGrid>
      <w:tr>
        <w:trPr>
          <w:trHeight w:val="1134" w:hRule="exact"/>
        </w:trPr>
        <w:tc>
          <w:tcPr>
            <w:tcW w:w="898" w:type="dxa"/>
            <w:tcBorders/>
          </w:tcPr>
          <w:p>
            <w:pPr>
              <w:pStyle w:val="Normal"/>
              <w:widowControl/>
              <w:ind w:start="-180" w:end="0"/>
              <w:jc w:val="end"/>
              <w:rPr>
                <w:sz w:val="20"/>
                <w:szCs w:val="20"/>
              </w:rPr>
            </w:pPr>
            <w:r>
              <w:rPr>
                <w:sz w:val="20"/>
                <w:szCs w:val="20"/>
              </w:rPr>
              <w:t>To:</w:t>
            </w:r>
          </w:p>
        </w:tc>
        <w:tc>
          <w:tcPr>
            <w:tcW w:w="6210" w:type="dxa"/>
            <w:tcBorders/>
          </w:tcPr>
          <w:p>
            <w:pPr>
              <w:pStyle w:val="To"/>
              <w:widowControl/>
              <w:ind w:end="-643"/>
              <w:rPr/>
            </w:pPr>
            <w:r>
              <w:rPr/>
              <w:t>Phillip Allen, Sandra Brawner, Chris Germany, Hunter Shively</w:t>
            </w:r>
          </w:p>
          <w:p>
            <w:pPr>
              <w:pStyle w:val="To"/>
              <w:widowControl/>
              <w:ind w:end="-643"/>
              <w:rPr/>
            </w:pPr>
            <w:r>
              <w:rPr/>
              <w:t>Dick Jenkins, Dan Junek, Tom Martin, Greg McClendon,</w:t>
            </w:r>
          </w:p>
          <w:p>
            <w:pPr>
              <w:pStyle w:val="To"/>
              <w:widowControl/>
              <w:ind w:end="-643"/>
              <w:rPr/>
            </w:pPr>
            <w:r>
              <w:rPr/>
              <w:t>Brad McKay, Scott Neal, Kim Olinger, Fletch Sturm,</w:t>
            </w:r>
          </w:p>
          <w:p>
            <w:pPr>
              <w:pStyle w:val="To"/>
              <w:widowControl/>
              <w:ind w:end="-643"/>
              <w:rPr/>
            </w:pPr>
            <w:r>
              <w:rPr/>
              <w:t>Judy Townsend, Elsa Villareal, Scott Goodell, Kate Fraser</w:t>
            </w:r>
          </w:p>
          <w:p>
            <w:pPr>
              <w:pStyle w:val="To"/>
              <w:widowControl/>
              <w:ind w:end="-643"/>
              <w:rPr/>
            </w:pPr>
            <w:r>
              <w:rPr/>
              <w:t>Keith Holst, Andy Lewis, Mike Grigsby</w:t>
            </w:r>
          </w:p>
        </w:tc>
        <w:tc>
          <w:tcPr>
            <w:tcW w:w="1425" w:type="dxa"/>
            <w:tcBorders/>
          </w:tcPr>
          <w:p>
            <w:pPr>
              <w:pStyle w:val="Normal"/>
              <w:widowControl/>
              <w:snapToGrid w:val="false"/>
              <w:ind w:start="-180" w:end="0"/>
              <w:rPr>
                <w:sz w:val="20"/>
                <w:szCs w:val="20"/>
              </w:rPr>
            </w:pPr>
            <w:r>
              <w:rPr>
                <w:sz w:val="20"/>
                <w:szCs w:val="20"/>
              </w:rPr>
            </w:r>
          </w:p>
        </w:tc>
        <w:tc>
          <w:tcPr>
            <w:tcW w:w="2700" w:type="dxa"/>
            <w:tcBorders/>
          </w:tcPr>
          <w:p>
            <w:pPr>
              <w:pStyle w:val="Normal"/>
              <w:widowControl/>
              <w:snapToGrid w:val="false"/>
              <w:rPr>
                <w:sz w:val="20"/>
                <w:szCs w:val="20"/>
              </w:rPr>
            </w:pPr>
            <w:r>
              <w:rPr>
                <w:sz w:val="20"/>
                <w:szCs w:val="20"/>
              </w:rPr>
            </w:r>
          </w:p>
        </w:tc>
      </w:tr>
      <w:tr>
        <w:trPr>
          <w:trHeight w:val="216" w:hRule="exact"/>
        </w:trPr>
        <w:tc>
          <w:tcPr>
            <w:tcW w:w="898" w:type="dxa"/>
            <w:tcBorders/>
          </w:tcPr>
          <w:p>
            <w:pPr>
              <w:pStyle w:val="Normal"/>
              <w:widowControl/>
              <w:snapToGrid w:val="false"/>
              <w:ind w:start="-180" w:end="0"/>
              <w:jc w:val="end"/>
              <w:rPr>
                <w:sz w:val="20"/>
                <w:szCs w:val="20"/>
              </w:rPr>
            </w:pPr>
            <w:r>
              <w:rPr>
                <w:sz w:val="20"/>
                <w:szCs w:val="20"/>
              </w:rPr>
            </w:r>
          </w:p>
        </w:tc>
        <w:tc>
          <w:tcPr>
            <w:tcW w:w="6210" w:type="dxa"/>
            <w:tcBorders/>
          </w:tcPr>
          <w:p>
            <w:pPr>
              <w:pStyle w:val="Normal"/>
              <w:widowControl/>
              <w:snapToGrid w:val="false"/>
              <w:ind w:end="-643"/>
              <w:rPr>
                <w:sz w:val="20"/>
                <w:szCs w:val="20"/>
              </w:rPr>
            </w:pPr>
            <w:r>
              <w:rPr>
                <w:sz w:val="20"/>
                <w:szCs w:val="20"/>
              </w:rPr>
            </w:r>
          </w:p>
        </w:tc>
        <w:tc>
          <w:tcPr>
            <w:tcW w:w="1425" w:type="dxa"/>
            <w:tcBorders/>
          </w:tcPr>
          <w:p>
            <w:pPr>
              <w:pStyle w:val="Normal"/>
              <w:widowControl/>
              <w:snapToGrid w:val="false"/>
              <w:ind w:start="-180" w:end="0"/>
              <w:rPr>
                <w:sz w:val="20"/>
                <w:szCs w:val="20"/>
              </w:rPr>
            </w:pPr>
            <w:r>
              <w:rPr>
                <w:sz w:val="20"/>
                <w:szCs w:val="20"/>
              </w:rPr>
            </w:r>
          </w:p>
        </w:tc>
        <w:tc>
          <w:tcPr>
            <w:tcW w:w="2700" w:type="dxa"/>
            <w:tcBorders/>
          </w:tcPr>
          <w:p>
            <w:pPr>
              <w:pStyle w:val="Normal"/>
              <w:widowControl/>
              <w:snapToGrid w:val="false"/>
              <w:rPr>
                <w:sz w:val="20"/>
                <w:szCs w:val="20"/>
              </w:rPr>
            </w:pPr>
            <w:r>
              <w:rPr>
                <w:sz w:val="20"/>
                <w:szCs w:val="20"/>
              </w:rPr>
            </w:r>
          </w:p>
        </w:tc>
      </w:tr>
      <w:tr>
        <w:trPr>
          <w:trHeight w:val="300" w:hRule="exact"/>
        </w:trPr>
        <w:tc>
          <w:tcPr>
            <w:tcW w:w="898" w:type="dxa"/>
            <w:tcBorders/>
          </w:tcPr>
          <w:p>
            <w:pPr>
              <w:pStyle w:val="Normal"/>
              <w:widowControl/>
              <w:ind w:start="-180" w:end="0"/>
              <w:jc w:val="end"/>
              <w:rPr>
                <w:sz w:val="20"/>
                <w:szCs w:val="20"/>
              </w:rPr>
            </w:pPr>
            <w:r>
              <w:rPr>
                <w:sz w:val="20"/>
                <w:szCs w:val="20"/>
              </w:rPr>
              <w:t>From:</w:t>
            </w:r>
          </w:p>
        </w:tc>
        <w:tc>
          <w:tcPr>
            <w:tcW w:w="6210" w:type="dxa"/>
            <w:tcBorders/>
          </w:tcPr>
          <w:p>
            <w:pPr>
              <w:pStyle w:val="From"/>
              <w:widowControl/>
              <w:ind w:end="-643"/>
              <w:rPr/>
            </w:pPr>
            <w:r>
              <w:rPr/>
              <w:t>Colleen Sullivan</w:t>
            </w:r>
          </w:p>
        </w:tc>
        <w:tc>
          <w:tcPr>
            <w:tcW w:w="1425" w:type="dxa"/>
            <w:tcBorders/>
          </w:tcPr>
          <w:p>
            <w:pPr>
              <w:pStyle w:val="Normal"/>
              <w:widowControl/>
              <w:ind w:start="-180" w:end="0"/>
              <w:jc w:val="end"/>
              <w:rPr>
                <w:sz w:val="20"/>
                <w:szCs w:val="20"/>
              </w:rPr>
            </w:pPr>
            <w:r>
              <w:rPr>
                <w:sz w:val="20"/>
                <w:szCs w:val="20"/>
              </w:rPr>
              <w:t>Department:</w:t>
            </w:r>
          </w:p>
        </w:tc>
        <w:tc>
          <w:tcPr>
            <w:tcW w:w="2700" w:type="dxa"/>
            <w:tcBorders/>
          </w:tcPr>
          <w:p>
            <w:pPr>
              <w:pStyle w:val="Department"/>
              <w:widowControl/>
              <w:rPr/>
            </w:pPr>
            <w:bookmarkStart w:id="0" w:name="From"/>
            <w:bookmarkEnd w:id="0"/>
            <w:r>
              <w:rPr/>
              <w:t>ECT</w:t>
            </w:r>
          </w:p>
        </w:tc>
      </w:tr>
      <w:tr>
        <w:trPr>
          <w:trHeight w:val="216" w:hRule="exact"/>
        </w:trPr>
        <w:tc>
          <w:tcPr>
            <w:tcW w:w="898" w:type="dxa"/>
            <w:tcBorders/>
          </w:tcPr>
          <w:p>
            <w:pPr>
              <w:pStyle w:val="Normal"/>
              <w:widowControl/>
              <w:snapToGrid w:val="false"/>
              <w:ind w:start="-180" w:end="0"/>
              <w:jc w:val="end"/>
              <w:rPr>
                <w:sz w:val="20"/>
                <w:szCs w:val="20"/>
              </w:rPr>
            </w:pPr>
            <w:r>
              <w:rPr>
                <w:sz w:val="20"/>
                <w:szCs w:val="20"/>
              </w:rPr>
            </w:r>
          </w:p>
        </w:tc>
        <w:tc>
          <w:tcPr>
            <w:tcW w:w="6210" w:type="dxa"/>
            <w:tcBorders/>
          </w:tcPr>
          <w:p>
            <w:pPr>
              <w:pStyle w:val="Normal"/>
              <w:widowControl/>
              <w:snapToGrid w:val="false"/>
              <w:ind w:end="-643"/>
              <w:rPr>
                <w:sz w:val="20"/>
                <w:szCs w:val="20"/>
              </w:rPr>
            </w:pPr>
            <w:r>
              <w:rPr>
                <w:sz w:val="20"/>
                <w:szCs w:val="20"/>
              </w:rPr>
            </w:r>
          </w:p>
        </w:tc>
        <w:tc>
          <w:tcPr>
            <w:tcW w:w="1425" w:type="dxa"/>
            <w:tcBorders/>
          </w:tcPr>
          <w:p>
            <w:pPr>
              <w:pStyle w:val="Normal"/>
              <w:widowControl/>
              <w:snapToGrid w:val="false"/>
              <w:ind w:start="-180" w:end="0"/>
              <w:rPr>
                <w:sz w:val="20"/>
                <w:szCs w:val="20"/>
              </w:rPr>
            </w:pPr>
            <w:r>
              <w:rPr>
                <w:sz w:val="20"/>
                <w:szCs w:val="20"/>
              </w:rPr>
            </w:r>
          </w:p>
        </w:tc>
        <w:tc>
          <w:tcPr>
            <w:tcW w:w="2700" w:type="dxa"/>
            <w:tcBorders/>
          </w:tcPr>
          <w:p>
            <w:pPr>
              <w:pStyle w:val="Normal"/>
              <w:widowControl/>
              <w:snapToGrid w:val="false"/>
              <w:rPr>
                <w:sz w:val="20"/>
                <w:szCs w:val="20"/>
              </w:rPr>
            </w:pPr>
            <w:r>
              <w:rPr>
                <w:sz w:val="20"/>
                <w:szCs w:val="20"/>
              </w:rPr>
            </w:r>
          </w:p>
        </w:tc>
      </w:tr>
      <w:tr>
        <w:trPr>
          <w:trHeight w:val="495" w:hRule="exact"/>
        </w:trPr>
        <w:tc>
          <w:tcPr>
            <w:tcW w:w="898" w:type="dxa"/>
            <w:tcBorders>
              <w:bottom w:val="single" w:sz="12" w:space="0" w:color="000000"/>
            </w:tcBorders>
          </w:tcPr>
          <w:p>
            <w:pPr>
              <w:pStyle w:val="Normal"/>
              <w:widowControl/>
              <w:ind w:start="-180" w:end="0"/>
              <w:jc w:val="end"/>
              <w:rPr>
                <w:sz w:val="20"/>
                <w:szCs w:val="20"/>
              </w:rPr>
            </w:pPr>
            <w:r>
              <w:rPr>
                <w:sz w:val="20"/>
                <w:szCs w:val="20"/>
              </w:rPr>
              <w:t>Subject:</w:t>
            </w:r>
          </w:p>
        </w:tc>
        <w:tc>
          <w:tcPr>
            <w:tcW w:w="6210" w:type="dxa"/>
            <w:tcBorders>
              <w:bottom w:val="single" w:sz="12" w:space="0" w:color="000000"/>
            </w:tcBorders>
          </w:tcPr>
          <w:p>
            <w:pPr>
              <w:pStyle w:val="Subject"/>
              <w:widowControl/>
              <w:ind w:end="-643"/>
              <w:rPr/>
            </w:pPr>
            <w:r>
              <w:rPr/>
              <w:t>Regulatory Filing Summary</w:t>
            </w:r>
          </w:p>
        </w:tc>
        <w:tc>
          <w:tcPr>
            <w:tcW w:w="1425" w:type="dxa"/>
            <w:tcBorders>
              <w:bottom w:val="single" w:sz="12" w:space="0" w:color="000000"/>
            </w:tcBorders>
          </w:tcPr>
          <w:p>
            <w:pPr>
              <w:pStyle w:val="Normal"/>
              <w:widowControl/>
              <w:ind w:start="-180" w:end="0"/>
              <w:jc w:val="end"/>
              <w:rPr>
                <w:sz w:val="20"/>
                <w:szCs w:val="20"/>
              </w:rPr>
            </w:pPr>
            <w:r>
              <w:rPr>
                <w:sz w:val="20"/>
                <w:szCs w:val="20"/>
              </w:rPr>
              <w:t>Date:</w:t>
            </w:r>
          </w:p>
        </w:tc>
        <w:tc>
          <w:tcPr>
            <w:tcW w:w="2700" w:type="dxa"/>
            <w:tcBorders>
              <w:bottom w:val="single" w:sz="12" w:space="0" w:color="000000"/>
            </w:tcBorders>
          </w:tcPr>
          <w:p>
            <w:pPr>
              <w:pStyle w:val="Date"/>
              <w:widowControl/>
              <w:rPr/>
            </w:pPr>
            <w:r>
              <w:rPr/>
              <w:t>September 8, 2000</w:t>
            </w:r>
          </w:p>
        </w:tc>
      </w:tr>
    </w:tbl>
    <w:p>
      <w:pPr>
        <w:pStyle w:val="Body"/>
        <w:widowControl/>
        <w:rPr/>
      </w:pPr>
      <w:r>
        <w:rPr/>
      </w:r>
      <w:bookmarkStart w:id="1" w:name="StartOfMemo"/>
      <w:bookmarkStart w:id="2" w:name="StartOfMemo"/>
      <w:bookmarkEnd w:id="2"/>
    </w:p>
    <w:p>
      <w:pPr>
        <w:pStyle w:val="Normal"/>
        <w:rPr>
          <w:sz w:val="20"/>
          <w:szCs w:val="20"/>
        </w:rPr>
      </w:pPr>
      <w:r>
        <w:rPr>
          <w:sz w:val="20"/>
          <w:szCs w:val="20"/>
        </w:rPr>
        <w:t>Following is the regulatory update summary.   If you have any questions, please call me at x35514.</w:t>
      </w:r>
    </w:p>
    <w:p>
      <w:pPr>
        <w:pStyle w:val="NormalIndent"/>
        <w:rPr>
          <w:sz w:val="20"/>
          <w:szCs w:val="20"/>
        </w:rPr>
      </w:pPr>
      <w:r>
        <w:rPr/>
        <w:t xml:space="preserve"> </w:t>
      </w:r>
    </w:p>
    <w:p>
      <w:pPr>
        <w:pStyle w:val="Normal"/>
        <w:rPr>
          <w:b/>
          <w:bCs/>
          <w:sz w:val="20"/>
          <w:szCs w:val="20"/>
        </w:rPr>
      </w:pPr>
      <w:r>
        <w:rPr>
          <w:b/>
          <w:bCs/>
          <w:sz w:val="20"/>
          <w:szCs w:val="20"/>
        </w:rPr>
        <w:t>Columbia Gas Transmission Company</w:t>
      </w:r>
    </w:p>
    <w:p>
      <w:pPr>
        <w:pStyle w:val="NormalIndent"/>
        <w:rPr>
          <w:sz w:val="20"/>
          <w:szCs w:val="20"/>
        </w:rPr>
      </w:pPr>
      <w:r>
        <w:rPr>
          <w:sz w:val="20"/>
          <w:szCs w:val="20"/>
        </w:rPr>
        <w:t>8/23/00 - FERC ordered a technical conference be held regarding CGT’s proposed auction procedures.  There are several issues for which FERC and third parties want clarification.  These include:  CGT’s ability to change terms of an offer and subsequently close a deal within 15 minutes of the change; will bidders that want small volumes of capacity be disadvantaged; is the proposed auction procedure an appropriate methodology to sell all capacity; should penalties be assessed for withdrawn bids; should CGT be able to reduce from 15 days to 5 days the exercise of ROFR rights for long term capacity.</w:t>
      </w:r>
    </w:p>
    <w:p>
      <w:pPr>
        <w:pStyle w:val="NormalIndent"/>
        <w:rPr>
          <w:sz w:val="20"/>
          <w:szCs w:val="20"/>
        </w:rPr>
      </w:pPr>
      <w:r>
        <w:rPr>
          <w:sz w:val="20"/>
          <w:szCs w:val="20"/>
        </w:rPr>
      </w:r>
    </w:p>
    <w:p>
      <w:pPr>
        <w:pStyle w:val="NormalIndent"/>
        <w:rPr>
          <w:sz w:val="20"/>
          <w:szCs w:val="20"/>
        </w:rPr>
      </w:pPr>
      <w:r>
        <w:rPr>
          <w:sz w:val="20"/>
          <w:szCs w:val="20"/>
        </w:rPr>
        <w:t>9/8/00 - Summary of customer settlement meeting regarding Order 637 issues:  FERC has delayed a technical conference until 11/1/00, giving CGT time to meet with customers and try to settle major issues.  The major issues involve CGT’s new services, FSB and AFT, default balancing service, and segmentation.   There will be a meeting on 9/21/00 for CGT and another on 9/26/00 regarding Columbia Gulf’s 637 filing.</w:t>
      </w:r>
    </w:p>
    <w:p>
      <w:pPr>
        <w:pStyle w:val="Normal"/>
        <w:rPr>
          <w:b/>
          <w:bCs/>
          <w:sz w:val="20"/>
          <w:szCs w:val="20"/>
        </w:rPr>
      </w:pPr>
      <w:r>
        <w:rPr>
          <w:b/>
          <w:bCs/>
          <w:sz w:val="20"/>
          <w:szCs w:val="20"/>
        </w:rPr>
      </w:r>
    </w:p>
    <w:p>
      <w:pPr>
        <w:pStyle w:val="Normal"/>
        <w:rPr>
          <w:b/>
          <w:bCs/>
          <w:sz w:val="20"/>
          <w:szCs w:val="20"/>
        </w:rPr>
      </w:pPr>
      <w:r>
        <w:rPr>
          <w:b/>
          <w:bCs/>
          <w:sz w:val="20"/>
          <w:szCs w:val="20"/>
        </w:rPr>
        <w:t>Dominion Transmission, Inc. (CNG)</w:t>
      </w:r>
    </w:p>
    <w:p>
      <w:pPr>
        <w:pStyle w:val="NormalIndent"/>
        <w:rPr>
          <w:sz w:val="20"/>
          <w:szCs w:val="20"/>
        </w:rPr>
      </w:pPr>
      <w:r>
        <w:rPr>
          <w:sz w:val="20"/>
          <w:szCs w:val="20"/>
        </w:rPr>
        <w:t>9/11/00 - On 9/8-9 there was a technical conference regarding Dominion’s 637 filing.  FERC staff did not look favorably on Dominion’s lack of segmentation, but said with some additional information and modifications, they may recommend acceptance.  Dominion must explain its non-OFO penalty structure , clarify standards for issuing OFOs and further explain its imbalance management services.  Some customers criticized DTIs attempt to move from 20 days to 24 hours to correct imbalances.  Dominion will also review its policy of penalizing customers whose imbalances “help” the system.</w:t>
      </w:r>
    </w:p>
    <w:p>
      <w:pPr>
        <w:pStyle w:val="Normal"/>
        <w:rPr>
          <w:b/>
          <w:bCs/>
          <w:sz w:val="20"/>
          <w:szCs w:val="20"/>
        </w:rPr>
      </w:pPr>
      <w:r>
        <w:rPr>
          <w:b/>
          <w:bCs/>
          <w:sz w:val="20"/>
          <w:szCs w:val="20"/>
        </w:rPr>
      </w:r>
    </w:p>
    <w:p>
      <w:pPr>
        <w:pStyle w:val="Normal"/>
        <w:rPr>
          <w:sz w:val="20"/>
          <w:szCs w:val="20"/>
        </w:rPr>
      </w:pPr>
      <w:r>
        <w:rPr>
          <w:b/>
          <w:bCs/>
          <w:sz w:val="20"/>
          <w:szCs w:val="20"/>
        </w:rPr>
        <w:t>El Paso Natural Gas Company</w:t>
      </w:r>
    </w:p>
    <w:p>
      <w:pPr>
        <w:pStyle w:val="NormalIndent"/>
        <w:rPr>
          <w:sz w:val="20"/>
          <w:szCs w:val="20"/>
        </w:rPr>
      </w:pPr>
      <w:r>
        <w:rPr>
          <w:sz w:val="20"/>
          <w:szCs w:val="20"/>
        </w:rPr>
        <w:t>8/18/00 - EPNG filed an abandonment request for a turbine and sour gas compressor at Waha Station, to remove these facilities from jurisdictional service, and move them to El Paso Field Services, since they are used primarily for gathering type services.</w:t>
      </w:r>
    </w:p>
    <w:p>
      <w:pPr>
        <w:pStyle w:val="NormalIndent"/>
        <w:rPr>
          <w:sz w:val="20"/>
          <w:szCs w:val="20"/>
        </w:rPr>
      </w:pPr>
      <w:r>
        <w:rPr>
          <w:sz w:val="20"/>
          <w:szCs w:val="20"/>
        </w:rPr>
      </w:r>
    </w:p>
    <w:p>
      <w:pPr>
        <w:pStyle w:val="NormalIndent"/>
        <w:rPr>
          <w:sz w:val="20"/>
          <w:szCs w:val="20"/>
        </w:rPr>
      </w:pPr>
      <w:r>
        <w:rPr>
          <w:sz w:val="20"/>
          <w:szCs w:val="20"/>
        </w:rPr>
        <w:t xml:space="preserve">8/00 - EPNG made its Order 637 compliance filing on segmentation, allowing segmenting for the following paths only:  San Juan to Topock; Permian to Ehrenberg; and Anadarko to Plains, as long as operationally feasible.  EPNG says “within the path” allocation is operationally infeasible. This would take at least four months after the final order for implementation.  </w:t>
      </w:r>
    </w:p>
    <w:p>
      <w:pPr>
        <w:pStyle w:val="NormalIndent"/>
        <w:rPr>
          <w:sz w:val="20"/>
          <w:szCs w:val="20"/>
        </w:rPr>
      </w:pPr>
      <w:r>
        <w:rPr>
          <w:sz w:val="20"/>
          <w:szCs w:val="20"/>
        </w:rPr>
      </w:r>
    </w:p>
    <w:p>
      <w:pPr>
        <w:pStyle w:val="Normal"/>
        <w:rPr>
          <w:b/>
          <w:bCs/>
          <w:sz w:val="20"/>
          <w:szCs w:val="20"/>
        </w:rPr>
      </w:pPr>
      <w:r>
        <w:rPr>
          <w:b/>
          <w:bCs/>
          <w:sz w:val="20"/>
          <w:szCs w:val="20"/>
        </w:rPr>
        <w:t>Florida Gas Transmission Company</w:t>
      </w:r>
    </w:p>
    <w:p>
      <w:pPr>
        <w:pStyle w:val="NormalIndent"/>
        <w:rPr>
          <w:sz w:val="20"/>
          <w:szCs w:val="20"/>
        </w:rPr>
      </w:pPr>
      <w:r>
        <w:rPr>
          <w:sz w:val="20"/>
          <w:szCs w:val="20"/>
        </w:rPr>
        <w:t>8/257/00 - FERC issued Notice of Environmental Impact Statement process.  This is the process whereby anyone can raise environmental concerns with the project.  FERC has already identified a long list of issues that “deserve attention.”</w:t>
      </w:r>
      <w:r>
        <w:br w:type="page"/>
      </w:r>
    </w:p>
    <w:p>
      <w:pPr>
        <w:pStyle w:val="NormalIndent"/>
        <w:rPr>
          <w:sz w:val="20"/>
          <w:szCs w:val="20"/>
        </w:rPr>
      </w:pPr>
      <w:r>
        <w:rPr>
          <w:sz w:val="20"/>
          <w:szCs w:val="20"/>
        </w:rPr>
      </w:r>
    </w:p>
    <w:p>
      <w:pPr>
        <w:pStyle w:val="Normal"/>
        <w:rPr>
          <w:b/>
          <w:bCs/>
          <w:sz w:val="20"/>
          <w:szCs w:val="20"/>
        </w:rPr>
      </w:pPr>
      <w:r>
        <w:rPr>
          <w:b/>
          <w:bCs/>
          <w:sz w:val="20"/>
          <w:szCs w:val="20"/>
        </w:rPr>
        <w:t>Kern River Gas Transmission</w:t>
      </w:r>
    </w:p>
    <w:p>
      <w:pPr>
        <w:pStyle w:val="NormalIndent"/>
        <w:rPr>
          <w:sz w:val="20"/>
          <w:szCs w:val="20"/>
        </w:rPr>
      </w:pPr>
      <w:r>
        <w:rPr>
          <w:sz w:val="20"/>
          <w:szCs w:val="20"/>
        </w:rPr>
        <w:t>8/29/00 - FERC issued an order regarding the bid evaluation and award criteria for negotiated rate deals on Kern.  Kern is revising language to state that the value of a negotiated rate bid will be capped at the value of such bid at Transporter’s recourse rate.  It also clarifies that a recourse rate bidder need only exceed a competing negotiated bid, as opposed to being required to bid the maximum recourse rate.</w:t>
      </w:r>
    </w:p>
    <w:p>
      <w:pPr>
        <w:pStyle w:val="NormalIndent"/>
        <w:rPr>
          <w:sz w:val="20"/>
          <w:szCs w:val="20"/>
        </w:rPr>
      </w:pPr>
      <w:r>
        <w:rPr>
          <w:sz w:val="20"/>
          <w:szCs w:val="20"/>
        </w:rPr>
      </w:r>
    </w:p>
    <w:p>
      <w:pPr>
        <w:pStyle w:val="Normal"/>
        <w:rPr>
          <w:b/>
          <w:bCs/>
          <w:sz w:val="20"/>
          <w:szCs w:val="20"/>
        </w:rPr>
      </w:pPr>
      <w:r>
        <w:rPr>
          <w:b/>
          <w:bCs/>
          <w:sz w:val="20"/>
          <w:szCs w:val="20"/>
        </w:rPr>
        <w:t>Tennessee Gas Pipeline Company</w:t>
      </w:r>
    </w:p>
    <w:p>
      <w:pPr>
        <w:pStyle w:val="NormalIndent"/>
        <w:rPr>
          <w:sz w:val="20"/>
          <w:szCs w:val="20"/>
        </w:rPr>
      </w:pPr>
      <w:r>
        <w:rPr>
          <w:sz w:val="20"/>
          <w:szCs w:val="20"/>
        </w:rPr>
        <w:t>8/22/00 - Tennessee filed for authorization to build an offshore supply lateral, the Texas Deepwater Link Project, that will include 17.8 miles of 20 inch pipe connecting Tenn’s offshore system to HIOS.  The line would run from WC 180 to HIOS at WC 167 and could transport 400,000/d.</w:t>
      </w:r>
    </w:p>
    <w:p>
      <w:pPr>
        <w:pStyle w:val="NormalIndent"/>
        <w:rPr>
          <w:sz w:val="20"/>
          <w:szCs w:val="20"/>
        </w:rPr>
      </w:pPr>
      <w:r>
        <w:rPr>
          <w:sz w:val="20"/>
          <w:szCs w:val="20"/>
        </w:rPr>
      </w:r>
    </w:p>
    <w:p>
      <w:pPr>
        <w:pStyle w:val="Normal"/>
        <w:rPr>
          <w:b/>
          <w:bCs/>
          <w:sz w:val="20"/>
          <w:szCs w:val="20"/>
        </w:rPr>
      </w:pPr>
      <w:r>
        <w:rPr>
          <w:b/>
          <w:bCs/>
          <w:sz w:val="20"/>
          <w:szCs w:val="20"/>
        </w:rPr>
        <w:t>Viking Gas Transmission Company</w:t>
      </w:r>
    </w:p>
    <w:p>
      <w:pPr>
        <w:pStyle w:val="NormalIndent"/>
        <w:rPr>
          <w:sz w:val="20"/>
          <w:szCs w:val="20"/>
        </w:rPr>
      </w:pPr>
      <w:r>
        <w:rPr>
          <w:sz w:val="20"/>
          <w:szCs w:val="20"/>
        </w:rPr>
        <w:t>8/00 - Viking made its Order 637 compliance filing.  It will permit segmenting with alternate primary point rights but has a “use it or lose it” provision—it proposes revoking a shipper’s alternate primary point designation if nothing is scheduled at the point within a 15 day period, or within two days of written notice that another shipper wants capacity at that point.  It will not allow segmentation that would result in primary capacity rights in the opposite direction of the original primary path.</w:t>
      </w:r>
    </w:p>
    <w:p>
      <w:pPr>
        <w:pStyle w:val="NormalIndent"/>
        <w:rPr>
          <w:sz w:val="20"/>
          <w:szCs w:val="20"/>
        </w:rPr>
      </w:pPr>
      <w:r>
        <w:rPr>
          <w:sz w:val="20"/>
          <w:szCs w:val="20"/>
        </w:rPr>
      </w:r>
    </w:p>
    <w:p>
      <w:pPr>
        <w:pStyle w:val="Normal"/>
        <w:rPr>
          <w:b/>
          <w:bCs/>
          <w:sz w:val="20"/>
          <w:szCs w:val="20"/>
        </w:rPr>
      </w:pPr>
      <w:r>
        <w:rPr>
          <w:b/>
          <w:bCs/>
          <w:sz w:val="20"/>
          <w:szCs w:val="20"/>
        </w:rPr>
        <w:t>Wyoming Interstate Company</w:t>
      </w:r>
    </w:p>
    <w:p>
      <w:pPr>
        <w:pStyle w:val="NormalIndent"/>
        <w:rPr>
          <w:sz w:val="20"/>
          <w:szCs w:val="20"/>
        </w:rPr>
      </w:pPr>
      <w:r>
        <w:rPr>
          <w:sz w:val="20"/>
          <w:szCs w:val="20"/>
        </w:rPr>
        <w:t>8/00 - WIC made its Order 637 compliance filing.  It will allow a shipper in a prearranged release of 31 days or less to nominate in the next available cycle.  It also will allow segmentation to the extent operationally feasible.</w:t>
      </w:r>
    </w:p>
    <w:p>
      <w:pPr>
        <w:pStyle w:val="NormalIndent"/>
        <w:rPr>
          <w:sz w:val="20"/>
          <w:szCs w:val="20"/>
        </w:rPr>
      </w:pPr>
      <w:r>
        <w:rPr>
          <w:sz w:val="20"/>
          <w:szCs w:val="20"/>
        </w:rPr>
      </w:r>
    </w:p>
    <w:p>
      <w:pPr>
        <w:pStyle w:val="NormalIndent"/>
        <w:rPr>
          <w:sz w:val="20"/>
          <w:szCs w:val="20"/>
        </w:rPr>
      </w:pPr>
      <w:r>
        <w:rPr>
          <w:sz w:val="20"/>
          <w:szCs w:val="20"/>
        </w:rPr>
      </w:r>
    </w:p>
    <w:p>
      <w:pPr>
        <w:pStyle w:val="NormalIndent"/>
        <w:rPr>
          <w:sz w:val="20"/>
          <w:szCs w:val="20"/>
        </w:rPr>
      </w:pPr>
      <w:r>
        <w:rPr>
          <w:sz w:val="20"/>
          <w:szCs w:val="20"/>
        </w:rPr>
      </w:r>
    </w:p>
    <w:p>
      <w:pPr>
        <w:pStyle w:val="NormalIndent"/>
        <w:rPr>
          <w:sz w:val="20"/>
          <w:szCs w:val="20"/>
        </w:rPr>
      </w:pPr>
      <w:r>
        <w:rPr>
          <w:sz w:val="20"/>
          <w:szCs w:val="20"/>
        </w:rPr>
      </w:r>
    </w:p>
    <w:p>
      <w:pPr>
        <w:pStyle w:val="NormalIndent"/>
        <w:rPr>
          <w:sz w:val="20"/>
          <w:szCs w:val="20"/>
        </w:rPr>
      </w:pPr>
      <w:r>
        <w:rPr>
          <w:sz w:val="20"/>
          <w:szCs w:val="20"/>
        </w:rPr>
      </w:r>
    </w:p>
    <w:sectPr>
      <w:headerReference w:type="default" r:id="rId3"/>
      <w:headerReference w:type="first" r:id="rId4"/>
      <w:footerReference w:type="default" r:id="rId5"/>
      <w:footerReference w:type="first" r:id="rId6"/>
      <w:type w:val="nextPage"/>
      <w:pgSz w:w="12240" w:h="15840"/>
      <w:pgMar w:left="720" w:right="720" w:gutter="0" w:header="720" w:top="1170" w:footer="360" w:bottom="41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Times New Roman">
    <w:charset w:val="01"/>
    <w:family w:val="roman"/>
    <w:pitch w:val="variable"/>
  </w:font>
  <w:font w:name="CG Times (W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jc w:val="center"/>
      <w:rPr>
        <w:b/>
        <w:bCs/>
        <w:sz w:val="16"/>
        <w:szCs w:val="16"/>
      </w:rPr>
    </w:pPr>
    <w:r>
      <w:rPr>
        <w:b/>
        <w:bCs/>
        <w:sz w:val="16"/>
        <w:szCs w:val="16"/>
      </w:rPr>
      <w:t>Your Personal Best Makes Enron Best</w:t>
      <w:tab/>
      <w:t>Communicate- Facts Are Friendly</w:t>
      <w:tab/>
      <w:tab/>
      <w:t>Better, Faster, Simpler</w:t>
    </w:r>
  </w:p>
  <w:p>
    <w:pPr>
      <w:pStyle w:val="Footer"/>
      <w:widowControl/>
      <w:tabs>
        <w:tab w:val="clear" w:pos="4320"/>
        <w:tab w:val="left" w:pos="3780" w:leader="none"/>
        <w:tab w:val="center" w:pos="7560" w:leader="none"/>
        <w:tab w:val="right" w:pos="8640" w:leader="none"/>
      </w:tabs>
      <w:rPr>
        <w:sz w:val="12"/>
        <w:szCs w:val="12"/>
      </w:rPr>
    </w:pPr>
    <w:r>
      <w:rPr>
        <w:sz w:val="12"/>
        <w:szCs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2430" w:leader="none"/>
        <w:tab w:val="left" w:pos="5310" w:leader="none"/>
        <w:tab w:val="right" w:pos="8640" w:leader="none"/>
        <w:tab w:val="right" w:pos="10800" w:leader="none"/>
      </w:tabs>
      <w:rPr>
        <w:sz w:val="16"/>
        <w:szCs w:val="16"/>
      </w:rPr>
    </w:pPr>
    <w:r>
      <w:rPr>
        <w:b/>
        <w:bCs/>
        <w:sz w:val="16"/>
        <w:szCs w:val="16"/>
      </w:rPr>
      <w:t>Respect</w:t>
      <w:tab/>
      <w:t>Integrity</w:t>
      <w:tab/>
      <w:t>Communication</w:t>
      <w:tab/>
      <w:t>Excellence</w:t>
    </w:r>
  </w:p>
  <w:p>
    <w:pPr>
      <w:pStyle w:val="Footer"/>
      <w:widowControl/>
      <w:tabs>
        <w:tab w:val="clear" w:pos="4320"/>
        <w:tab w:val="left" w:pos="3780" w:leader="none"/>
        <w:tab w:val="center" w:pos="7560" w:leader="none"/>
        <w:tab w:val="right" w:pos="8640" w:leader="none"/>
        <w:tab w:val="right" w:pos="10800" w:leader="none"/>
      </w:tabs>
      <w:rPr>
        <w:sz w:val="12"/>
        <w:szCs w:val="12"/>
      </w:rPr>
    </w:pPr>
    <w:r>
      <w:rPr>
        <w:sz w:val="12"/>
        <w:szCs w:val="12"/>
      </w:rPr>
      <w:t>Form 000-469-1 (7/92)</w:t>
    </w:r>
  </w:p>
  <w:p>
    <w:pPr>
      <w:pStyle w:val="Footer"/>
      <w:widowControl/>
      <w:tabs>
        <w:tab w:val="clear" w:pos="4320"/>
        <w:tab w:val="left" w:pos="3780" w:leader="none"/>
        <w:tab w:val="center" w:pos="7560" w:leader="none"/>
        <w:tab w:val="right" w:pos="8640" w:leader="none"/>
        <w:tab w:val="right" w:pos="10800" w:leader="none"/>
      </w:tabs>
      <w:rPr>
        <w:sz w:val="8"/>
        <w:szCs w:val="8"/>
      </w:rPr>
    </w:pPr>
    <w:r>
      <w:rPr>
        <w:sz w:val="8"/>
        <w:szCs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-359410</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widowControl/>
                            <w:ind w:start="3600" w:end="0"/>
                            <w:rPr>
                              <w:b/>
                              <w:bCs/>
                              <w:sz w:val="32"/>
                              <w:szCs w:val="32"/>
                            </w:rPr>
                          </w:pPr>
                          <w:r>
                            <w:rPr>
                              <w:b/>
                              <w:bCs/>
                              <w:sz w:val="32"/>
                              <w:szCs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3pt;mso-position-vertical-relative:text;margin-left:201.3pt;mso-position-horizontal-relative:page">
              <v:fill opacity="0f"/>
              <v:textbox inset="0in,0in,0in,0in">
                <w:txbxContent>
                  <w:p>
                    <w:pPr>
                      <w:pStyle w:val="Normal"/>
                      <w:widowControl/>
                      <w:ind w:start="3600" w:end="0"/>
                      <w:rPr>
                        <w:b/>
                        <w:bCs/>
                        <w:sz w:val="32"/>
                        <w:szCs w:val="32"/>
                      </w:rPr>
                    </w:pPr>
                    <w:r>
                      <w:rPr>
                        <w:b/>
                        <w:bCs/>
                        <w:sz w:val="32"/>
                        <w:szCs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Arial" w:hAnsi="Arial" w:eastAsia="Arial" w:cs="Arial"/>
      <w:color w:val="auto"/>
      <w:sz w:val="24"/>
      <w:szCs w:val="24"/>
      <w:lang w:val="en-US" w:eastAsia="zh-CN" w:bidi="hi-I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eastAsia="Times New Roman" w:cs="Times New Roman"/>
    </w:rPr>
  </w:style>
  <w:style w:type="paragraph" w:styleId="Heading2">
    <w:name w:val="heading 2"/>
    <w:basedOn w:val="Normal"/>
    <w:next w:val="Normal"/>
    <w:qFormat/>
    <w:pPr>
      <w:keepNext w:val="true"/>
      <w:numPr>
        <w:ilvl w:val="1"/>
        <w:numId w:val="1"/>
      </w:numPr>
      <w:tabs>
        <w:tab w:val="clear" w:pos="540"/>
      </w:tabs>
      <w:outlineLvl w:val="1"/>
    </w:pPr>
    <w:rPr>
      <w:rFonts w:ascii="Times New Roman" w:hAnsi="Times New Roman" w:eastAsia="Times New Roman" w:cs="Times New Roman"/>
      <w:b/>
      <w:bCs/>
    </w:rPr>
  </w:style>
  <w:style w:type="paragraph" w:styleId="Heading3">
    <w:name w:val="heading 3"/>
    <w:basedOn w:val="Normal"/>
    <w:next w:val="NormalIndent"/>
    <w:qFormat/>
    <w:pPr>
      <w:numPr>
        <w:ilvl w:val="2"/>
        <w:numId w:val="1"/>
      </w:numPr>
      <w:ind w:hanging="0" w:start="360" w:end="0"/>
      <w:outlineLvl w:val="2"/>
    </w:pPr>
    <w:rPr>
      <w:rFonts w:ascii="CG Times (WN)" w:hAnsi="CG Times (WN)" w:eastAsia="CG Times (WN)" w:cs="CG Times (WN)"/>
      <w:b/>
      <w:bCs/>
    </w:rPr>
  </w:style>
  <w:style w:type="paragraph" w:styleId="Heading4">
    <w:name w:val="heading 4"/>
    <w:basedOn w:val="Normal"/>
    <w:next w:val="Normal"/>
    <w:qFormat/>
    <w:pPr>
      <w:keepNext w:val="true"/>
      <w:numPr>
        <w:ilvl w:val="3"/>
        <w:numId w:val="1"/>
      </w:numPr>
      <w:tabs>
        <w:tab w:val="clear" w:pos="540"/>
      </w:tabs>
      <w:ind w:hanging="720" w:start="720" w:end="0"/>
      <w:outlineLvl w:val="3"/>
    </w:pPr>
    <w:rPr>
      <w:rFonts w:ascii="Times New Roman" w:hAnsi="Times New Roman" w:eastAsia="Times New Roman" w:cs="Times New Roman"/>
    </w:rPr>
  </w:style>
  <w:style w:type="paragraph" w:styleId="Heading5">
    <w:name w:val="heading 5"/>
    <w:basedOn w:val="Normal"/>
    <w:next w:val="Normal"/>
    <w:qFormat/>
    <w:pPr>
      <w:keepNext w:val="true"/>
      <w:numPr>
        <w:ilvl w:val="4"/>
        <w:numId w:val="1"/>
      </w:numPr>
      <w:tabs>
        <w:tab w:val="clear" w:pos="540"/>
      </w:tabs>
      <w:ind w:hanging="1440" w:start="1440" w:end="0"/>
      <w:outlineLvl w:val="4"/>
    </w:pPr>
    <w:rPr>
      <w:rFonts w:ascii="Times New Roman" w:hAnsi="Times New Roman" w:eastAsia="Times New Roman" w:cs="Times New Roman"/>
    </w:rPr>
  </w:style>
  <w:style w:type="paragraph" w:styleId="Heading6">
    <w:name w:val="heading 6"/>
    <w:basedOn w:val="Normal"/>
    <w:next w:val="Normal"/>
    <w:qFormat/>
    <w:pPr>
      <w:keepNext w:val="true"/>
      <w:numPr>
        <w:ilvl w:val="5"/>
        <w:numId w:val="1"/>
      </w:numPr>
      <w:tabs>
        <w:tab w:val="clear" w:pos="540"/>
      </w:tabs>
      <w:ind w:hanging="1530" w:start="1440" w:end="0"/>
      <w:outlineLvl w:val="5"/>
    </w:pPr>
    <w:rPr>
      <w:rFonts w:ascii="Times New Roman" w:hAnsi="Times New Roman" w:eastAsia="Times New Roman" w:cs="Times New Roman"/>
    </w:rPr>
  </w:style>
  <w:style w:type="character" w:styleId="DefaultParagraphFont">
    <w:name w:val="Default Paragraph Font"/>
    <w:qFormat/>
    <w:rPr/>
  </w:style>
  <w:style w:type="paragraph" w:styleId="Heading">
    <w:name w:val="Heading"/>
    <w:basedOn w:val="Normal"/>
    <w:next w:val="BodyText"/>
    <w:qFormat/>
    <w:pPr>
      <w:tabs>
        <w:tab w:val="clear" w:pos="540"/>
      </w:tabs>
    </w:pPr>
    <w:rPr>
      <w:b/>
      <w:bCs/>
    </w:rPr>
  </w:style>
  <w:style w:type="paragraph" w:styleId="BodyText">
    <w:name w:val="Body Text"/>
    <w:basedOn w:val="Normal"/>
    <w:pPr>
      <w:tabs>
        <w:tab w:val="clear" w:pos="540"/>
      </w:tabs>
    </w:pPr>
    <w:rPr>
      <w:rFonts w:ascii="Times New Roman" w:hAnsi="Times New Roman" w:eastAsia="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szCs w:val="20"/>
    </w:rPr>
  </w:style>
  <w:style w:type="paragraph" w:styleId="Date">
    <w:name w:val="Date"/>
    <w:basedOn w:val="Normal"/>
    <w:qFormat/>
    <w:pPr>
      <w:tabs>
        <w:tab w:val="clear" w:pos="540"/>
      </w:tabs>
    </w:pPr>
    <w:rPr>
      <w:sz w:val="20"/>
      <w:szCs w:val="20"/>
    </w:rPr>
  </w:style>
  <w:style w:type="paragraph" w:styleId="To">
    <w:name w:val="To"/>
    <w:basedOn w:val="Normal"/>
    <w:qFormat/>
    <w:pPr>
      <w:tabs>
        <w:tab w:val="clear" w:pos="540"/>
      </w:tabs>
    </w:pPr>
    <w:rPr>
      <w:sz w:val="20"/>
      <w:szCs w:val="20"/>
    </w:rPr>
  </w:style>
  <w:style w:type="paragraph" w:styleId="From">
    <w:name w:val="From"/>
    <w:basedOn w:val="Normal"/>
    <w:qFormat/>
    <w:pPr>
      <w:tabs>
        <w:tab w:val="clear" w:pos="540"/>
      </w:tabs>
    </w:pPr>
    <w:rPr>
      <w:sz w:val="20"/>
      <w:szCs w:val="20"/>
    </w:rPr>
  </w:style>
  <w:style w:type="paragraph" w:styleId="CopyList">
    <w:name w:val="CopyList"/>
    <w:basedOn w:val="Normal"/>
    <w:qFormat/>
    <w:pPr>
      <w:tabs>
        <w:tab w:val="clear" w:pos="540"/>
        <w:tab w:val="left" w:pos="504" w:leader="none"/>
      </w:tabs>
      <w:spacing w:before="360" w:after="0"/>
      <w:ind w:hanging="504" w:start="576" w:end="0"/>
    </w:pPr>
    <w:rPr>
      <w:sz w:val="20"/>
      <w:szCs w:val="20"/>
    </w:rPr>
  </w:style>
  <w:style w:type="paragraph" w:styleId="Body">
    <w:name w:val="Body"/>
    <w:basedOn w:val="Normal"/>
    <w:qFormat/>
    <w:pPr>
      <w:tabs>
        <w:tab w:val="clear" w:pos="540"/>
      </w:tabs>
      <w:ind w:hanging="0" w:start="72" w:end="0"/>
    </w:pPr>
    <w:rPr>
      <w:color w:val="000080"/>
      <w:sz w:val="20"/>
      <w:szCs w:val="20"/>
    </w:rPr>
  </w:style>
  <w:style w:type="paragraph" w:styleId="Department">
    <w:name w:val="Department"/>
    <w:basedOn w:val="Normal"/>
    <w:qFormat/>
    <w:pPr>
      <w:tabs>
        <w:tab w:val="clear" w:pos="540"/>
      </w:tabs>
    </w:pPr>
    <w:rPr>
      <w:sz w:val="20"/>
      <w:szCs w:val="20"/>
    </w:rPr>
  </w:style>
  <w:style w:type="paragraph" w:styleId="BodyTextIndent">
    <w:name w:val="Body Text Indent"/>
    <w:basedOn w:val="Normal"/>
    <w:pPr>
      <w:tabs>
        <w:tab w:val="clear" w:pos="540"/>
      </w:tabs>
      <w:ind w:hanging="720" w:start="720" w:end="0"/>
    </w:pPr>
    <w:rPr>
      <w:rFonts w:ascii="Times New Roman" w:hAnsi="Times New Roman" w:eastAsia="Times New Roman" w:cs="Times New Roman"/>
    </w:rPr>
  </w:style>
  <w:style w:type="paragraph" w:styleId="BodyTextIndent2">
    <w:name w:val="Body Text Indent 2"/>
    <w:basedOn w:val="Normal"/>
    <w:qFormat/>
    <w:pPr>
      <w:tabs>
        <w:tab w:val="clear" w:pos="540"/>
      </w:tabs>
      <w:ind w:hanging="0" w:start="720" w:end="0"/>
    </w:pPr>
    <w:rPr>
      <w:rFonts w:ascii="Times New Roman" w:hAnsi="Times New Roman" w:eastAsia="Times New Roman" w:cs="Times New Roman"/>
    </w:rPr>
  </w:style>
  <w:style w:type="paragraph" w:styleId="BodyTextIndent3">
    <w:name w:val="Body Text Indent 3"/>
    <w:basedOn w:val="Normal"/>
    <w:qFormat/>
    <w:pPr>
      <w:ind w:hanging="720" w:start="720" w:end="0"/>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113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2000-08-29T12:19:00Z</dcterms:created>
  <dc:creator>ECT</dc:creator>
  <dc:description/>
  <dc:language>en-CA</dc:language>
  <cp:lastModifiedBy>ECT</cp:lastModifiedBy>
  <cp:lastPrinted>2000-08-25T09:12:00Z</cp:lastPrinted>
  <dcterms:modified xsi:type="dcterms:W3CDTF">2000-09-13T14:18:00Z</dcterms:modified>
  <cp:revision>9</cp:revision>
  <dc:subject>Regulatory Filing Summary</dc:subject>
  <dc:title>Eron Capital &amp; Trade Resources Memo</dc:title>
</cp:coreProperties>
</file>