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Sandra Brawner, Chris Germany, Hunter Shively</w:t>
            </w:r>
          </w:p>
          <w:p>
            <w:pPr>
              <w:pStyle w:val="To"/>
              <w:widowControl/>
              <w:ind w:end="-643"/>
              <w:rPr/>
            </w:pPr>
            <w:r>
              <w:rPr/>
              <w:t>Dick Jenkins, Dan Junek, Tom Martin, Greg McClendon,</w:t>
            </w:r>
          </w:p>
          <w:p>
            <w:pPr>
              <w:pStyle w:val="To"/>
              <w:widowControl/>
              <w:ind w:end="-643"/>
              <w:rPr/>
            </w:pPr>
            <w:r>
              <w:rPr/>
              <w:t>Brad McKay, Scott Neal, Kim Olinger, Mike Grigsby,</w:t>
            </w:r>
          </w:p>
          <w:p>
            <w:pPr>
              <w:pStyle w:val="To"/>
              <w:widowControl/>
              <w:ind w:end="-643"/>
              <w:rPr/>
            </w:pPr>
            <w:r>
              <w:rPr/>
              <w:t>Judy Townsend, Elsa Villareal, Scott Goodell, Andy Lewis,</w:t>
            </w:r>
          </w:p>
          <w:p>
            <w:pPr>
              <w:pStyle w:val="To"/>
              <w:widowControl/>
              <w:ind w:end="-643"/>
              <w:rPr/>
            </w:pPr>
            <w:r>
              <w:rPr/>
              <w:t>Keith Holst, Martin Ciulla, Pete Keavey</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October 13,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sz w:val="20"/>
          <w:szCs w:val="20"/>
        </w:rPr>
      </w:pPr>
      <w:r>
        <w:rPr>
          <w:b/>
          <w:bCs/>
          <w:sz w:val="20"/>
          <w:szCs w:val="20"/>
        </w:rPr>
        <w:t>ANR Pipeline Company</w:t>
      </w:r>
    </w:p>
    <w:p>
      <w:pPr>
        <w:pStyle w:val="NormalIndent"/>
        <w:rPr>
          <w:sz w:val="20"/>
          <w:szCs w:val="20"/>
        </w:rPr>
      </w:pPr>
      <w:r>
        <w:rPr>
          <w:sz w:val="20"/>
          <w:szCs w:val="20"/>
        </w:rPr>
        <w:t>9/27/00 - FERC approved a negotiated rate agreement between ANR and Reliant Energy Services, subject to ANR disclosing additional information.  The negotiated deal was for storage service calling for a revenue sharing formula:  Net Revenue = Gross Margin - (Storage Charges + Transportation Charges + ACA + Storage Fuel + Transportation Fuel + Time Value), with ANR receiving 80% and Reliant 20% until ANR receives $2,500,000 annually.  Additional positive Net Revenue will be split 50/50.  Reliant assumes all losses.  The total volume covers 5,064,290 MMBtu with a MDWQ of 65,770.  The additional information which must be filed includes an explanation of the terms in the formula, which transportation rates are being used, how fuel is calculated, etc.</w:t>
      </w:r>
    </w:p>
    <w:p>
      <w:pPr>
        <w:pStyle w:val="NormalIndent"/>
        <w:rPr>
          <w:sz w:val="20"/>
          <w:szCs w:val="20"/>
        </w:rPr>
      </w:pPr>
      <w:r>
        <w:rPr>
          <w:sz w:val="20"/>
          <w:szCs w:val="20"/>
        </w:rPr>
      </w:r>
    </w:p>
    <w:p>
      <w:pPr>
        <w:pStyle w:val="NormalIndent"/>
        <w:rPr>
          <w:sz w:val="20"/>
          <w:szCs w:val="20"/>
        </w:rPr>
      </w:pPr>
      <w:r>
        <w:rPr>
          <w:sz w:val="20"/>
          <w:szCs w:val="20"/>
        </w:rPr>
        <w:t>9/27/00 - FERC approved the negotiated rate agreement with Dynegy filed on 8/29/00, subject to the same additional information required for the Reliant deal.  The  MSQ on Dynegy’s deal is 10,518,782, with a MDWQ of 154,118 MMBtu.  Also, the 80%/20% split applies until ANR receives $6,961,000 annually, then it goes to 50/50.</w:t>
      </w:r>
    </w:p>
    <w:p>
      <w:pPr>
        <w:pStyle w:val="NormalIndent"/>
        <w:rPr>
          <w:sz w:val="20"/>
          <w:szCs w:val="20"/>
        </w:rPr>
      </w:pPr>
      <w:r>
        <w:rPr>
          <w:sz w:val="20"/>
          <w:szCs w:val="20"/>
        </w:rPr>
      </w:r>
    </w:p>
    <w:p>
      <w:pPr>
        <w:pStyle w:val="NormalIndent"/>
        <w:rPr>
          <w:sz w:val="20"/>
          <w:szCs w:val="20"/>
        </w:rPr>
      </w:pPr>
      <w:r>
        <w:rPr>
          <w:sz w:val="20"/>
          <w:szCs w:val="20"/>
        </w:rPr>
        <w:t xml:space="preserve">9/29/00 - ANR filed two proposals for recovering its GSR (gas supply realignment) costs, with a proposed effective date of October 1.  The first case proposes a 3 year recovery period, resulting in a reservation surcharge of $.007/dth.  The alternate case proposes a one year recovery period, with a reservation surcharge of $.018/dth. </w:t>
      </w:r>
    </w:p>
    <w:p>
      <w:pPr>
        <w:pStyle w:val="NormalIndent"/>
        <w:rPr>
          <w:sz w:val="20"/>
          <w:szCs w:val="20"/>
        </w:rPr>
      </w:pPr>
      <w:r>
        <w:rPr>
          <w:sz w:val="20"/>
          <w:szCs w:val="20"/>
        </w:rPr>
      </w:r>
    </w:p>
    <w:p>
      <w:pPr>
        <w:pStyle w:val="NormalIndent"/>
        <w:rPr>
          <w:sz w:val="20"/>
          <w:szCs w:val="20"/>
        </w:rPr>
      </w:pPr>
      <w:r>
        <w:rPr>
          <w:sz w:val="20"/>
          <w:szCs w:val="20"/>
        </w:rPr>
        <w:t>10/5/00 - ANR filed notice of a negotiated rate agreement with Anadarko Energy Services.  The service is under PTS-3 from EL 346 to the Eunice headstation and is a life of reserve type contract that is expected to begin 10/1/00.  The agreement has a $.05 monthly demand charge, with a $.005 credit if the volumes average 100/d in 2000, 100,000/d in 2001; 150,000/d in 2002; and 175,000/d in 2003.</w:t>
      </w:r>
    </w:p>
    <w:p>
      <w:pPr>
        <w:pStyle w:val="NormalIndent"/>
        <w:rPr>
          <w:sz w:val="20"/>
          <w:szCs w:val="20"/>
        </w:rPr>
      </w:pPr>
      <w:r>
        <w:rPr>
          <w:sz w:val="20"/>
          <w:szCs w:val="20"/>
        </w:rPr>
      </w:r>
    </w:p>
    <w:p>
      <w:pPr>
        <w:pStyle w:val="Normal"/>
        <w:rPr>
          <w:b/>
          <w:bCs/>
          <w:sz w:val="20"/>
          <w:szCs w:val="20"/>
        </w:rPr>
      </w:pPr>
      <w:r>
        <w:rPr>
          <w:b/>
          <w:bCs/>
          <w:sz w:val="20"/>
          <w:szCs w:val="20"/>
        </w:rPr>
        <w:t>Columbia Gulf Transmission</w:t>
      </w:r>
    </w:p>
    <w:p>
      <w:pPr>
        <w:pStyle w:val="NormalIndent"/>
        <w:rPr>
          <w:sz w:val="20"/>
          <w:szCs w:val="20"/>
        </w:rPr>
      </w:pPr>
      <w:r>
        <w:rPr>
          <w:sz w:val="20"/>
          <w:szCs w:val="20"/>
        </w:rPr>
        <w:t>9/28/00 - FERC approved the negotiated rate deal with Southern Company Energy Marketing filed on 9/6/00.  It is for IT service for 9/00 only with a rate as follows:  If Southern uses at least 150,000 Dths in the month, they will pay the greater of $.01 or the difference between Gas Daily postings for CGulf Louisiana and Tennessee 500 leg, less fuel value, less ACA, less $.0075.  If volume is less than 150,000, max rate is charged.  Receipt points are Miss Canyon 148 and South Pass 52, and Delivery is at Egan A or Egan D.</w:t>
      </w:r>
    </w:p>
    <w:p>
      <w:pPr>
        <w:pStyle w:val="NormalIndent"/>
        <w:rPr>
          <w:sz w:val="20"/>
          <w:szCs w:val="20"/>
        </w:rPr>
      </w:pPr>
      <w:r>
        <w:rPr>
          <w:sz w:val="20"/>
          <w:szCs w:val="20"/>
        </w:rPr>
      </w:r>
    </w:p>
    <w:p>
      <w:pPr>
        <w:pStyle w:val="NormalIndent"/>
        <w:rPr>
          <w:sz w:val="20"/>
          <w:szCs w:val="20"/>
        </w:rPr>
      </w:pPr>
      <w:r>
        <w:rPr>
          <w:sz w:val="20"/>
          <w:szCs w:val="20"/>
        </w:rPr>
        <w:t>9/28/00 - FERC approved the negotiated rate deal with Dynegy filed on 9/5/00.  It is an identical deal to Southern’s; however, the minimum volume is 300,000 Dth and the receipt points are South Pass 49A and South Pass 78A.</w:t>
      </w:r>
    </w:p>
    <w:p>
      <w:pPr>
        <w:pStyle w:val="NormalIndent"/>
        <w:rPr>
          <w:sz w:val="20"/>
          <w:szCs w:val="20"/>
        </w:rPr>
      </w:pPr>
      <w:r>
        <w:rPr>
          <w:sz w:val="20"/>
          <w:szCs w:val="20"/>
        </w:rPr>
      </w:r>
    </w:p>
    <w:p>
      <w:pPr>
        <w:pStyle w:val="NormalIndent"/>
        <w:rPr>
          <w:sz w:val="20"/>
          <w:szCs w:val="20"/>
        </w:rPr>
      </w:pPr>
      <w:r>
        <w:rPr>
          <w:sz w:val="20"/>
          <w:szCs w:val="20"/>
        </w:rPr>
        <w:t>9/29/00 - Columbia Gulf extended the above arrangement with Dynegy through October 2000.</w:t>
      </w:r>
      <w:r>
        <w:br w:type="page"/>
      </w:r>
    </w:p>
    <w:p>
      <w:pPr>
        <w:pStyle w:val="NormalIndent"/>
        <w:rPr>
          <w:b/>
          <w:bCs/>
          <w:sz w:val="20"/>
          <w:szCs w:val="20"/>
        </w:rPr>
      </w:pPr>
      <w:r>
        <w:rPr>
          <w:b/>
          <w:bCs/>
          <w:sz w:val="20"/>
          <w:szCs w:val="20"/>
        </w:rPr>
      </w:r>
    </w:p>
    <w:p>
      <w:pPr>
        <w:pStyle w:val="Normal"/>
        <w:rPr>
          <w:b/>
          <w:bCs/>
          <w:sz w:val="20"/>
          <w:szCs w:val="20"/>
        </w:rPr>
      </w:pPr>
      <w:r>
        <w:rPr>
          <w:b/>
          <w:bCs/>
          <w:sz w:val="20"/>
          <w:szCs w:val="20"/>
        </w:rPr>
        <w:t>Dominion Transmission, Inc.</w:t>
      </w:r>
    </w:p>
    <w:p>
      <w:pPr>
        <w:pStyle w:val="NormalIndent"/>
        <w:rPr>
          <w:sz w:val="20"/>
          <w:szCs w:val="20"/>
        </w:rPr>
      </w:pPr>
      <w:r>
        <w:rPr>
          <w:sz w:val="20"/>
          <w:szCs w:val="20"/>
        </w:rPr>
        <w:t>9/29/00-Dominion filed a TCRA adjustment, providing for the following increases (requested eff date of 11/1/00):</w:t>
      </w:r>
    </w:p>
    <w:p>
      <w:pPr>
        <w:pStyle w:val="NormalIndent"/>
        <w:rPr>
          <w:sz w:val="20"/>
          <w:szCs w:val="20"/>
        </w:rPr>
      </w:pPr>
      <w:r>
        <w:rPr>
          <w:b/>
          <w:bCs/>
          <w:sz w:val="20"/>
          <w:szCs w:val="20"/>
          <w:u w:val="single"/>
        </w:rPr>
        <w:t>Rate Component</w:t>
        <w:tab/>
        <w:t>Proposed Rate</w:t>
        <w:tab/>
        <w:tab/>
        <w:t>Current Rate</w:t>
        <w:tab/>
        <w:tab/>
        <w:t>Difference</w:t>
      </w:r>
    </w:p>
    <w:p>
      <w:pPr>
        <w:pStyle w:val="NormalIndent"/>
        <w:rPr>
          <w:sz w:val="20"/>
          <w:szCs w:val="20"/>
        </w:rPr>
      </w:pPr>
      <w:r>
        <w:rPr>
          <w:sz w:val="20"/>
          <w:szCs w:val="20"/>
        </w:rPr>
        <w:t>FT/FTNN Res.</w:t>
        <w:tab/>
        <w:tab/>
        <w:t>$6.1272/Dt</w:t>
        <w:tab/>
        <w:tab/>
        <w:t>$5.7131/Dt</w:t>
        <w:tab/>
        <w:tab/>
        <w:t>$.4141/Dt</w:t>
      </w:r>
    </w:p>
    <w:p>
      <w:pPr>
        <w:pStyle w:val="NormalIndent"/>
        <w:rPr>
          <w:sz w:val="20"/>
          <w:szCs w:val="20"/>
        </w:rPr>
      </w:pPr>
      <w:r>
        <w:rPr>
          <w:sz w:val="20"/>
          <w:szCs w:val="20"/>
        </w:rPr>
        <w:t>FT/FTNN Usage</w:t>
        <w:tab/>
        <w:t>$  .1045/Dt</w:t>
        <w:tab/>
        <w:tab/>
        <w:t>$  .0528/Dt</w:t>
        <w:tab/>
        <w:tab/>
        <w:t>$.0517/Dt</w:t>
      </w:r>
    </w:p>
    <w:p>
      <w:pPr>
        <w:pStyle w:val="NormalIndent"/>
        <w:rPr>
          <w:sz w:val="20"/>
          <w:szCs w:val="20"/>
        </w:rPr>
      </w:pPr>
      <w:r>
        <w:rPr>
          <w:sz w:val="20"/>
          <w:szCs w:val="20"/>
        </w:rPr>
        <w:t>IT</w:t>
        <w:tab/>
        <w:tab/>
        <w:tab/>
        <w:t>$   .273/Dt</w:t>
        <w:tab/>
        <w:tab/>
        <w:t>$  .2076/Dt</w:t>
        <w:tab/>
        <w:tab/>
        <w:t>$.0654/Dt</w:t>
      </w:r>
    </w:p>
    <w:p>
      <w:pPr>
        <w:pStyle w:val="NormalIndent"/>
        <w:rPr>
          <w:sz w:val="20"/>
          <w:szCs w:val="20"/>
        </w:rPr>
      </w:pPr>
      <w:r>
        <w:rPr>
          <w:sz w:val="20"/>
          <w:szCs w:val="20"/>
        </w:rPr>
        <w:t>GSS Demand</w:t>
        <w:tab/>
        <w:tab/>
        <w:t>$1.8654/Dt</w:t>
        <w:tab/>
        <w:tab/>
        <w:t>$1.8373/Dt</w:t>
        <w:tab/>
        <w:tab/>
        <w:t>$.0281/Dt</w:t>
      </w:r>
    </w:p>
    <w:p>
      <w:pPr>
        <w:pStyle w:val="NormalIndent"/>
        <w:rPr>
          <w:sz w:val="20"/>
          <w:szCs w:val="20"/>
        </w:rPr>
      </w:pPr>
      <w:r>
        <w:rPr>
          <w:sz w:val="20"/>
          <w:szCs w:val="20"/>
        </w:rPr>
        <w:t>GSS Inj.</w:t>
        <w:tab/>
        <w:tab/>
        <w:t>$  .0519/Dt</w:t>
        <w:tab/>
        <w:tab/>
        <w:t>$  .0246/Dt</w:t>
        <w:tab/>
        <w:tab/>
        <w:t>$.0273/Dt</w:t>
      </w:r>
    </w:p>
    <w:p>
      <w:pPr>
        <w:pStyle w:val="NormalIndent"/>
        <w:rPr>
          <w:sz w:val="20"/>
          <w:szCs w:val="20"/>
        </w:rPr>
      </w:pPr>
      <w:r>
        <w:rPr>
          <w:sz w:val="20"/>
          <w:szCs w:val="20"/>
        </w:rPr>
        <w:t>GSS W/D rate</w:t>
        <w:tab/>
        <w:tab/>
        <w:t>$  .0480/Dt</w:t>
        <w:tab/>
        <w:tab/>
        <w:t>$  .0235/Dt</w:t>
        <w:tab/>
        <w:tab/>
        <w:t>$.0245/Dt</w:t>
      </w:r>
    </w:p>
    <w:p>
      <w:pPr>
        <w:pStyle w:val="NormalIndent"/>
        <w:rPr>
          <w:sz w:val="20"/>
          <w:szCs w:val="20"/>
        </w:rPr>
      </w:pPr>
      <w:r>
        <w:rPr>
          <w:sz w:val="20"/>
          <w:szCs w:val="20"/>
        </w:rPr>
        <w:t>GSS II Demand</w:t>
        <w:tab/>
        <w:tab/>
        <w:t>$3.4354/Dt</w:t>
        <w:tab/>
        <w:tab/>
        <w:t>$3.4257/Dt</w:t>
        <w:tab/>
        <w:tab/>
        <w:t>$.0097/Dt</w:t>
      </w:r>
    </w:p>
    <w:p>
      <w:pPr>
        <w:pStyle w:val="NormalIndent"/>
        <w:rPr>
          <w:sz w:val="20"/>
          <w:szCs w:val="20"/>
        </w:rPr>
      </w:pPr>
      <w:r>
        <w:rPr>
          <w:sz w:val="20"/>
          <w:szCs w:val="20"/>
        </w:rPr>
      </w:r>
    </w:p>
    <w:p>
      <w:pPr>
        <w:pStyle w:val="NormalIndent"/>
        <w:rPr>
          <w:sz w:val="20"/>
          <w:szCs w:val="20"/>
        </w:rPr>
      </w:pPr>
      <w:r>
        <w:rPr>
          <w:sz w:val="20"/>
          <w:szCs w:val="20"/>
        </w:rPr>
        <w:t>9/29/00 - Dominion filed a request for a one month extension of a negotiated rate with PSEG Power NY, Inc.  The deal was originally for 7/1/00-9/30/00 and was for a rate of $.10 from Leidy to NIMO East.  The MDQ was 115,000/d, with a max annual volume of 10580,000 Dth.  If they do not use at least 750,000 Dths the rate is $.12.</w:t>
      </w:r>
    </w:p>
    <w:p>
      <w:pPr>
        <w:pStyle w:val="NormalIndent"/>
        <w:rPr>
          <w:sz w:val="20"/>
          <w:szCs w:val="20"/>
        </w:rPr>
      </w:pPr>
      <w:r>
        <w:rPr>
          <w:sz w:val="20"/>
          <w:szCs w:val="20"/>
        </w:rPr>
      </w:r>
    </w:p>
    <w:p>
      <w:pPr>
        <w:pStyle w:val="NormalIndent"/>
        <w:rPr>
          <w:sz w:val="20"/>
          <w:szCs w:val="20"/>
        </w:rPr>
      </w:pPr>
      <w:r>
        <w:rPr>
          <w:sz w:val="20"/>
          <w:szCs w:val="20"/>
        </w:rPr>
        <w:t>9/29/00 - Dominion filed new tariff sheets reflecting its Rate Case Settlement provision which provides for conversion of GSS-II firm storage services to GSS and FT (FT-GSS) in increments over a 5-year period.  It revised its base rates to reflect the 20% conversion effective 11/1/00, as allowed in the Rate Case Settlement.</w:t>
      </w:r>
    </w:p>
    <w:p>
      <w:pPr>
        <w:pStyle w:val="NormalIndent"/>
        <w:rPr>
          <w:sz w:val="20"/>
          <w:szCs w:val="20"/>
        </w:rPr>
      </w:pPr>
      <w:r>
        <w:rPr>
          <w:sz w:val="20"/>
          <w:szCs w:val="20"/>
        </w:rPr>
      </w:r>
    </w:p>
    <w:p>
      <w:pPr>
        <w:pStyle w:val="NormalIndent"/>
        <w:rPr>
          <w:sz w:val="20"/>
          <w:szCs w:val="20"/>
        </w:rPr>
      </w:pPr>
      <w:r>
        <w:rPr>
          <w:sz w:val="20"/>
          <w:szCs w:val="20"/>
        </w:rPr>
        <w:t>10/2/00 - FERC rejected Dominion’s recent filing to implement unbundled gathering and product extraction rates eff 1/1/01.  Dominion must submit a limited Section 4 filing with cost documentation from the most recent operating data, per its previous settlement.</w:t>
      </w:r>
    </w:p>
    <w:p>
      <w:pPr>
        <w:pStyle w:val="Normal"/>
        <w:rPr>
          <w:sz w:val="20"/>
          <w:szCs w:val="20"/>
        </w:rPr>
      </w:pPr>
      <w:r>
        <w:rPr>
          <w:sz w:val="20"/>
          <w:szCs w:val="20"/>
        </w:rPr>
      </w:r>
    </w:p>
    <w:p>
      <w:pPr>
        <w:pStyle w:val="NormalIndent"/>
        <w:rPr>
          <w:b/>
          <w:bCs/>
          <w:sz w:val="20"/>
          <w:szCs w:val="20"/>
        </w:rPr>
      </w:pPr>
      <w:r>
        <w:rPr>
          <w:b/>
          <w:bCs/>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9/27/00 - FERC approved the new fuel charges effective 10/1/00.  The fuel percentage increased by .15% and the unit fuel surcharge increased by $.0052.</w:t>
      </w:r>
    </w:p>
    <w:p>
      <w:pPr>
        <w:pStyle w:val="NormalIndent"/>
        <w:rPr>
          <w:sz w:val="20"/>
          <w:szCs w:val="20"/>
        </w:rPr>
      </w:pPr>
      <w:r>
        <w:rPr>
          <w:sz w:val="20"/>
          <w:szCs w:val="20"/>
        </w:rPr>
      </w:r>
    </w:p>
    <w:p>
      <w:pPr>
        <w:pStyle w:val="Normal"/>
        <w:rPr>
          <w:b/>
          <w:bCs/>
          <w:sz w:val="20"/>
          <w:szCs w:val="20"/>
        </w:rPr>
      </w:pPr>
      <w:r>
        <w:rPr>
          <w:b/>
          <w:bCs/>
          <w:sz w:val="20"/>
          <w:szCs w:val="20"/>
        </w:rPr>
        <w:t>Iroquois Gas Transmission</w:t>
      </w:r>
    </w:p>
    <w:p>
      <w:pPr>
        <w:pStyle w:val="NormalIndent"/>
        <w:rPr>
          <w:sz w:val="20"/>
          <w:szCs w:val="20"/>
        </w:rPr>
      </w:pPr>
      <w:r>
        <w:rPr>
          <w:sz w:val="20"/>
          <w:szCs w:val="20"/>
        </w:rPr>
        <w:t>9/29/00 - Iroquois filed for slight TCRA adjustments effective 11/1/00.</w:t>
      </w:r>
    </w:p>
    <w:p>
      <w:pPr>
        <w:pStyle w:val="NormalIndent"/>
        <w:rPr>
          <w:sz w:val="20"/>
          <w:szCs w:val="20"/>
        </w:rPr>
      </w:pPr>
      <w:r>
        <w:rPr>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9/28/00 - Koch filed notice of a negotiated rate with Koch Energy Trading effective October 1, 2000 through December 31, 2000.  The volume is 8000/d unless Mobile Chalmette builds a Liquids Recovery Unit, at which time KET may request an additional 52,000/d.  The rate is $.08 including commodity and reservation charges, Mobile Bay charge, fuel and ACA for Mobile Bay receipts or $.095 for Venice, Erath, Hub, Hattiesburg and Petal receipts.  If the cash equivalent of fuel plus minimum rates results in higher rates, the higher rate shall be used.  If KET does not use the transport during a month, they will pay a demand charge of $1.5208 per Dth (or $.05 for 100% load factor).  The primary receipt points are Mobile Bay-Mobil and Venice, and the primary delivery point is the Chalmette Refinery.  Supplemental Delivery Points include Texas Gas-Lonewa, Bridgeline Paradis, Hattiesburg Storage, Henry Hub, &amp; Col Gulf-Barron.  Supplemental Receipt Points are listed above under the rate description.</w:t>
      </w:r>
    </w:p>
    <w:p>
      <w:pPr>
        <w:pStyle w:val="Normal"/>
        <w:rPr>
          <w:b/>
          <w:bCs/>
          <w:sz w:val="20"/>
          <w:szCs w:val="20"/>
        </w:rPr>
      </w:pPr>
      <w:r>
        <w:rPr>
          <w:b/>
          <w:bCs/>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9/29/00 - MRT filed new fuel percentages effective November 1, 2000.</w:t>
      </w:r>
    </w:p>
    <w:p>
      <w:pPr>
        <w:pStyle w:val="Normal"/>
        <w:rPr>
          <w:b/>
          <w:bCs/>
          <w:sz w:val="20"/>
          <w:szCs w:val="20"/>
        </w:rPr>
      </w:pPr>
      <w:r>
        <w:rPr>
          <w:b/>
          <w:bCs/>
          <w:sz w:val="20"/>
          <w:szCs w:val="20"/>
        </w:rPr>
      </w:r>
    </w:p>
    <w:p>
      <w:pPr>
        <w:pStyle w:val="Normal"/>
        <w:rPr>
          <w:b/>
          <w:bCs/>
          <w:sz w:val="20"/>
          <w:szCs w:val="20"/>
        </w:rPr>
      </w:pPr>
      <w:r>
        <w:rPr>
          <w:b/>
          <w:bCs/>
          <w:sz w:val="20"/>
          <w:szCs w:val="20"/>
        </w:rPr>
        <w:t>National Fuel Gas Supply Corporation</w:t>
      </w:r>
    </w:p>
    <w:p>
      <w:pPr>
        <w:pStyle w:val="NormalIndent"/>
        <w:rPr>
          <w:sz w:val="20"/>
          <w:szCs w:val="20"/>
        </w:rPr>
      </w:pPr>
      <w:r>
        <w:rPr>
          <w:sz w:val="20"/>
          <w:szCs w:val="20"/>
        </w:rPr>
        <w:t>9/28/00 - Summary of technical conference regarding NF’s Order 637 compliance filings:  FERC wants NF to broaden the scope of pooling; it also has concern that the existing tariff would inhibit in-place title transfers; it doesn’t like restrictions on shippers to use third party imbalance management services; NF will allow shippers using cash-out to trade imbalances before being penalized; FERC questioned the 90/110% of index price cash out penalty; it also questioned the TBF-tier charge, the OFO proposal and NF’s limited segmentation proposal</w:t>
      </w:r>
    </w:p>
    <w:p>
      <w:pPr>
        <w:pStyle w:val="NormalIndent"/>
        <w:rPr>
          <w:sz w:val="20"/>
          <w:szCs w:val="20"/>
        </w:rPr>
      </w:pPr>
      <w:r>
        <w:rPr>
          <w:sz w:val="20"/>
          <w:szCs w:val="20"/>
        </w:rPr>
      </w:r>
    </w:p>
    <w:p>
      <w:pPr>
        <w:pStyle w:val="NormalIndent"/>
        <w:rPr>
          <w:sz w:val="20"/>
          <w:szCs w:val="20"/>
        </w:rPr>
      </w:pPr>
      <w:r>
        <w:rPr>
          <w:sz w:val="20"/>
          <w:szCs w:val="20"/>
        </w:rPr>
        <w:t>10/3/00 - National fuel filed its quarterly Amortization Surcharge, which is now $.0746 per dth.  It also filed a new maximum Interruptible Gathering rate, which is now $.27 per dth.</w:t>
      </w:r>
      <w:r>
        <w:br w:type="page"/>
      </w:r>
    </w:p>
    <w:p>
      <w:pPr>
        <w:pStyle w:val="Normal"/>
        <w:rPr>
          <w:b/>
          <w:bCs/>
          <w:sz w:val="20"/>
          <w:szCs w:val="20"/>
        </w:rPr>
      </w:pPr>
      <w:r>
        <w:rPr>
          <w:b/>
          <w:bCs/>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9/12/00 - NBPL filed a draft copy of its settlement agreement on its rate case, moving it from a cost of service rate structure to a defined rate structure.</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9/27/00 - FERC issued a draft order rejecting the new LFT service because NNG had not proven that this new service would not degrade existing firm services.  NNG could not show that it had any unused capacity that it could sell on a firm basis.</w:t>
      </w:r>
    </w:p>
    <w:p>
      <w:pPr>
        <w:pStyle w:val="Normal"/>
        <w:rPr>
          <w:b/>
          <w:bCs/>
          <w:sz w:val="20"/>
          <w:szCs w:val="20"/>
        </w:rPr>
      </w:pPr>
      <w:r>
        <w:rPr>
          <w:b/>
          <w:bCs/>
          <w:sz w:val="20"/>
          <w:szCs w:val="20"/>
        </w:rPr>
      </w:r>
    </w:p>
    <w:p>
      <w:pPr>
        <w:pStyle w:val="Normal"/>
        <w:rPr>
          <w:b/>
          <w:bCs/>
          <w:sz w:val="20"/>
          <w:szCs w:val="20"/>
        </w:rPr>
      </w:pPr>
      <w:r>
        <w:rPr>
          <w:b/>
          <w:bCs/>
          <w:sz w:val="20"/>
          <w:szCs w:val="20"/>
        </w:rPr>
        <w:t>Panhandle Eastern Pipe Line Company</w:t>
      </w:r>
    </w:p>
    <w:p>
      <w:pPr>
        <w:pStyle w:val="NormalIndent"/>
        <w:rPr>
          <w:sz w:val="20"/>
          <w:szCs w:val="20"/>
        </w:rPr>
      </w:pPr>
      <w:r>
        <w:rPr>
          <w:sz w:val="20"/>
          <w:szCs w:val="20"/>
        </w:rPr>
        <w:t>9/27/00 - FERC approved the removal of the Carryover Volumetric Surcharge effective 10/1/00.</w:t>
      </w:r>
    </w:p>
    <w:p>
      <w:pPr>
        <w:pStyle w:val="NormalIndent"/>
        <w:rPr>
          <w:sz w:val="20"/>
          <w:szCs w:val="20"/>
        </w:rPr>
      </w:pPr>
      <w:r>
        <w:rPr>
          <w:sz w:val="20"/>
          <w:szCs w:val="20"/>
        </w:rPr>
      </w:r>
    </w:p>
    <w:p>
      <w:pPr>
        <w:pStyle w:val="NormalIndent"/>
        <w:rPr>
          <w:sz w:val="20"/>
          <w:szCs w:val="20"/>
        </w:rPr>
      </w:pPr>
      <w:r>
        <w:rPr>
          <w:sz w:val="20"/>
          <w:szCs w:val="20"/>
        </w:rPr>
        <w:t>9/29/00 - PEPL filed revised fuel rates effective 11/1/00:  .07% increase in Gathering and Field Zone fuels; $.01% increase in Market Zone fuel; $.02% decrease in injection and withdrawal field area and market area fuels.</w:t>
      </w:r>
    </w:p>
    <w:p>
      <w:pPr>
        <w:pStyle w:val="Normal"/>
        <w:rPr>
          <w:b/>
          <w:bCs/>
          <w:sz w:val="20"/>
          <w:szCs w:val="20"/>
        </w:rPr>
      </w:pPr>
      <w:r>
        <w:rPr>
          <w:b/>
          <w:bCs/>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9/21/00 - Questar filed for approval to reduce its fuel effective 10/1/00 from 2.1% to 1.4%.</w:t>
      </w:r>
    </w:p>
    <w:p>
      <w:pPr>
        <w:pStyle w:val="Normal"/>
        <w:rPr>
          <w:b/>
          <w:bCs/>
          <w:sz w:val="20"/>
          <w:szCs w:val="20"/>
        </w:rPr>
      </w:pPr>
      <w:r>
        <w:rPr>
          <w:b/>
          <w:bCs/>
          <w:sz w:val="20"/>
          <w:szCs w:val="20"/>
        </w:rPr>
      </w:r>
    </w:p>
    <w:p>
      <w:pPr>
        <w:pStyle w:val="Normal"/>
        <w:rPr>
          <w:b/>
          <w:bCs/>
          <w:sz w:val="20"/>
          <w:szCs w:val="20"/>
        </w:rPr>
      </w:pPr>
      <w:r>
        <w:rPr>
          <w:b/>
          <w:bCs/>
          <w:sz w:val="20"/>
          <w:szCs w:val="20"/>
        </w:rPr>
        <w:t>Reliant Gas Transmission</w:t>
      </w:r>
    </w:p>
    <w:p>
      <w:pPr>
        <w:pStyle w:val="NormalIndent"/>
        <w:rPr>
          <w:sz w:val="20"/>
          <w:szCs w:val="20"/>
        </w:rPr>
      </w:pPr>
      <w:r>
        <w:rPr>
          <w:sz w:val="20"/>
          <w:szCs w:val="20"/>
        </w:rPr>
        <w:t>9/26/00 - Reliant filed its semi-annual fuel percentage and Electric Power Costs Tracker, to be effective 11/1/00.</w:t>
      </w:r>
    </w:p>
    <w:p>
      <w:pPr>
        <w:pStyle w:val="Normal"/>
        <w:rPr>
          <w:b/>
          <w:bCs/>
          <w:sz w:val="20"/>
          <w:szCs w:val="20"/>
        </w:rPr>
      </w:pPr>
      <w:r>
        <w:rPr>
          <w:b/>
          <w:bCs/>
          <w:sz w:val="20"/>
          <w:szCs w:val="20"/>
        </w:rPr>
      </w:r>
    </w:p>
    <w:p>
      <w:pPr>
        <w:pStyle w:val="Normal"/>
        <w:rPr>
          <w:b/>
          <w:bCs/>
          <w:sz w:val="20"/>
          <w:szCs w:val="20"/>
        </w:rPr>
      </w:pPr>
      <w:r>
        <w:rPr>
          <w:b/>
          <w:bCs/>
          <w:sz w:val="20"/>
          <w:szCs w:val="20"/>
        </w:rPr>
        <w:t>Sea Robin Pipeline</w:t>
      </w:r>
    </w:p>
    <w:p>
      <w:pPr>
        <w:pStyle w:val="NormalIndent"/>
        <w:rPr>
          <w:sz w:val="20"/>
          <w:szCs w:val="20"/>
        </w:rPr>
      </w:pPr>
      <w:r>
        <w:rPr>
          <w:sz w:val="20"/>
          <w:szCs w:val="20"/>
        </w:rPr>
        <w:t>9/29/00 - Sea Robin filed for a $.1% reduction in fuel effective 11/1/00.</w:t>
      </w:r>
    </w:p>
    <w:p>
      <w:pPr>
        <w:pStyle w:val="Normal"/>
        <w:rPr>
          <w:b/>
          <w:bCs/>
          <w:sz w:val="20"/>
          <w:szCs w:val="20"/>
        </w:rPr>
      </w:pPr>
      <w:r>
        <w:rPr>
          <w:b/>
          <w:bCs/>
          <w:sz w:val="20"/>
          <w:szCs w:val="20"/>
        </w:rPr>
      </w:r>
    </w:p>
    <w:p>
      <w:pPr>
        <w:pStyle w:val="Normal"/>
        <w:rPr>
          <w:b/>
          <w:bCs/>
          <w:sz w:val="20"/>
          <w:szCs w:val="20"/>
        </w:rPr>
      </w:pPr>
      <w:r>
        <w:rPr>
          <w:b/>
          <w:bCs/>
          <w:sz w:val="20"/>
          <w:szCs w:val="20"/>
        </w:rPr>
        <w:t xml:space="preserve">Southern Natural Gas Company </w:t>
      </w:r>
    </w:p>
    <w:p>
      <w:pPr>
        <w:pStyle w:val="NormalIndent"/>
        <w:rPr>
          <w:sz w:val="20"/>
          <w:szCs w:val="20"/>
        </w:rPr>
      </w:pPr>
      <w:r>
        <w:rPr>
          <w:sz w:val="20"/>
          <w:szCs w:val="20"/>
        </w:rPr>
        <w:t>8/31/00 -  Southern filed a proposal that would change its practice of awarding capacity from a first come, first served method to a NPV basis.  This would not be used for expansions, but rather for available or to be available capacity.  Southern does want the right to reserve capacity for future expansions, as long as the open season is held within one year of the date capacity is reserved or one year of the date capacity becomes available.</w:t>
      </w:r>
    </w:p>
    <w:p>
      <w:pPr>
        <w:pStyle w:val="NormalIndent"/>
        <w:rPr>
          <w:sz w:val="20"/>
          <w:szCs w:val="20"/>
        </w:rPr>
      </w:pPr>
      <w:r>
        <w:rPr>
          <w:sz w:val="20"/>
          <w:szCs w:val="20"/>
        </w:rPr>
      </w:r>
    </w:p>
    <w:p>
      <w:pPr>
        <w:pStyle w:val="NormalIndent"/>
        <w:rPr>
          <w:sz w:val="20"/>
          <w:szCs w:val="20"/>
        </w:rPr>
      </w:pPr>
      <w:r>
        <w:rPr>
          <w:sz w:val="20"/>
          <w:szCs w:val="20"/>
        </w:rPr>
        <w:t>9/27/00 - FERC approved the NPV filing effective 10/1/00; however, Southern must make some minor changes to its original proposal</w:t>
      </w:r>
    </w:p>
    <w:p>
      <w:pPr>
        <w:pStyle w:val="NormalIndent"/>
        <w:rPr>
          <w:sz w:val="20"/>
          <w:szCs w:val="20"/>
        </w:rPr>
      </w:pPr>
      <w:r>
        <w:rPr>
          <w:sz w:val="20"/>
          <w:szCs w:val="20"/>
        </w:rPr>
      </w:r>
    </w:p>
    <w:p>
      <w:pPr>
        <w:pStyle w:val="Normal"/>
        <w:rPr>
          <w:b/>
          <w:bCs/>
          <w:sz w:val="20"/>
          <w:szCs w:val="20"/>
        </w:rPr>
      </w:pPr>
      <w:r>
        <w:rPr>
          <w:b/>
          <w:bCs/>
          <w:sz w:val="20"/>
          <w:szCs w:val="20"/>
        </w:rPr>
        <w:t>Tennessee Gas Pipeline</w:t>
      </w:r>
    </w:p>
    <w:p>
      <w:pPr>
        <w:pStyle w:val="NormalIndent"/>
        <w:rPr>
          <w:sz w:val="20"/>
          <w:szCs w:val="20"/>
        </w:rPr>
      </w:pPr>
      <w:r>
        <w:rPr>
          <w:sz w:val="20"/>
          <w:szCs w:val="20"/>
        </w:rPr>
        <w:t>9/25/00 - Tenn filed notice of a negotiated rate transaction with United Cities effective 11/1/00 through 10/31/05, for a volume of 73,656/day.  It is a max rate transaction but is considered “negotiated” because it has a termination option due to unbundling effects on United Cities’ needs.  It is for service from various points on Zone 0 to East Tennessee.</w:t>
      </w:r>
    </w:p>
    <w:p>
      <w:pPr>
        <w:pStyle w:val="NormalIndent"/>
        <w:rPr>
          <w:sz w:val="20"/>
          <w:szCs w:val="20"/>
        </w:rPr>
      </w:pPr>
      <w:r>
        <w:rPr>
          <w:sz w:val="20"/>
          <w:szCs w:val="20"/>
        </w:rPr>
      </w:r>
    </w:p>
    <w:p>
      <w:pPr>
        <w:pStyle w:val="NormalIndent"/>
        <w:rPr>
          <w:sz w:val="20"/>
          <w:szCs w:val="20"/>
        </w:rPr>
      </w:pPr>
      <w:r>
        <w:rPr>
          <w:sz w:val="20"/>
          <w:szCs w:val="20"/>
        </w:rPr>
        <w:t>9/15/00 - Tenn filed notice of an integrated package of negotiated rate agreements with Piedmont, including transport, storage, discount and letter agreements.  This package extends terms under one transport and two storage contracts, and creates a new transport agreement, all to be effective 11/1/00 through 10/31/05.</w:t>
      </w:r>
    </w:p>
    <w:p>
      <w:pPr>
        <w:pStyle w:val="NormalIndent"/>
        <w:rPr>
          <w:sz w:val="20"/>
          <w:szCs w:val="20"/>
        </w:rPr>
      </w:pPr>
      <w:r>
        <w:rPr>
          <w:sz w:val="20"/>
          <w:szCs w:val="20"/>
        </w:rPr>
      </w:r>
    </w:p>
    <w:p>
      <w:pPr>
        <w:pStyle w:val="Normal"/>
        <w:rPr>
          <w:b/>
          <w:bCs/>
          <w:sz w:val="20"/>
          <w:szCs w:val="20"/>
        </w:rPr>
      </w:pPr>
      <w:r>
        <w:rPr>
          <w:b/>
          <w:bCs/>
          <w:sz w:val="20"/>
          <w:szCs w:val="20"/>
        </w:rPr>
        <w:t>Texas Eastern Transmission Corporation</w:t>
      </w:r>
    </w:p>
    <w:p>
      <w:pPr>
        <w:pStyle w:val="NormalIndent"/>
        <w:rPr>
          <w:sz w:val="20"/>
          <w:szCs w:val="20"/>
        </w:rPr>
      </w:pPr>
      <w:r>
        <w:rPr>
          <w:sz w:val="20"/>
          <w:szCs w:val="20"/>
        </w:rPr>
        <w:t>9/13/00 - TETCO sent a correction to its 9/1/00 filing, which failed to include the operational segment capacity entitlements for Proliance Energy LLC.</w:t>
      </w:r>
    </w:p>
    <w:p>
      <w:pPr>
        <w:pStyle w:val="NormalIndent"/>
        <w:rPr>
          <w:sz w:val="20"/>
          <w:szCs w:val="20"/>
        </w:rPr>
      </w:pPr>
      <w:r>
        <w:rPr>
          <w:sz w:val="20"/>
          <w:szCs w:val="20"/>
        </w:rPr>
      </w:r>
    </w:p>
    <w:p>
      <w:pPr>
        <w:pStyle w:val="Normal"/>
        <w:rPr>
          <w:b/>
          <w:bCs/>
          <w:sz w:val="20"/>
          <w:szCs w:val="20"/>
        </w:rPr>
      </w:pPr>
      <w:r>
        <w:rPr>
          <w:b/>
          <w:bCs/>
          <w:sz w:val="20"/>
          <w:szCs w:val="20"/>
        </w:rPr>
        <w:t>Texas Gas Transmission</w:t>
      </w:r>
    </w:p>
    <w:p>
      <w:pPr>
        <w:pStyle w:val="NormalIndent"/>
        <w:rPr>
          <w:sz w:val="20"/>
          <w:szCs w:val="20"/>
        </w:rPr>
      </w:pPr>
      <w:r>
        <w:rPr>
          <w:sz w:val="20"/>
          <w:szCs w:val="20"/>
        </w:rPr>
        <w:t>10/4/00 - Summary of TGT’s rate case settlement conference:  FERC suggested various adjustments to TGT’s cost of service, totaling a $80,478,893 decrease.  There was also discussion about imbalance charges and cash out mechanisms, and TGT suggested that intervenors develop a proposal and present to FERC.  Follow up meeting is scheduled for November 1.</w:t>
      </w:r>
      <w:r>
        <w:br w:type="page"/>
      </w:r>
    </w:p>
    <w:p>
      <w:pPr>
        <w:pStyle w:val="NormalIndent"/>
        <w:rPr>
          <w:sz w:val="20"/>
          <w:szCs w:val="20"/>
        </w:rPr>
      </w:pPr>
      <w:r>
        <w:rPr>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9/29/00 - FERC issued its preliminary approval of non-environmental issues regarding the Sundance expansion project, which is an expansion of Transco’s existing system in North Carolina, Georgia, Alabama and Mississippi by 236,000/d.</w:t>
      </w:r>
    </w:p>
    <w:p>
      <w:pPr>
        <w:pStyle w:val="Normal"/>
        <w:rPr>
          <w:sz w:val="20"/>
          <w:szCs w:val="20"/>
        </w:rPr>
      </w:pPr>
      <w:r>
        <w:rPr>
          <w:sz w:val="20"/>
          <w:szCs w:val="20"/>
        </w:rPr>
      </w:r>
    </w:p>
    <w:p>
      <w:pPr>
        <w:pStyle w:val="Normal"/>
        <w:rPr>
          <w:b/>
          <w:bCs/>
          <w:sz w:val="20"/>
          <w:szCs w:val="20"/>
        </w:rPr>
      </w:pPr>
      <w:r>
        <w:rPr>
          <w:b/>
          <w:bCs/>
          <w:sz w:val="20"/>
          <w:szCs w:val="20"/>
        </w:rPr>
        <w:t>Trunkline Gas Company</w:t>
      </w:r>
    </w:p>
    <w:p>
      <w:pPr>
        <w:pStyle w:val="NormalIndent"/>
        <w:rPr>
          <w:sz w:val="20"/>
          <w:szCs w:val="20"/>
        </w:rPr>
      </w:pPr>
      <w:r>
        <w:rPr>
          <w:sz w:val="20"/>
          <w:szCs w:val="20"/>
        </w:rPr>
        <w:t>9/29/00 - Trunkline removed the minimum gathering charge under Rate Schedule TABS-1 effective 11/1/00, since there are no variable costs incurred for the service.</w:t>
      </w:r>
    </w:p>
    <w:p>
      <w:pPr>
        <w:pStyle w:val="NormalIndent"/>
        <w:rPr>
          <w:sz w:val="20"/>
          <w:szCs w:val="20"/>
        </w:rPr>
      </w:pPr>
      <w:r>
        <w:rPr>
          <w:sz w:val="20"/>
          <w:szCs w:val="20"/>
        </w:rPr>
      </w:r>
    </w:p>
    <w:p>
      <w:pPr>
        <w:pStyle w:val="NormalIndent"/>
        <w:rPr>
          <w:sz w:val="20"/>
          <w:szCs w:val="20"/>
        </w:rPr>
      </w:pPr>
      <w:r>
        <w:rPr>
          <w:sz w:val="20"/>
          <w:szCs w:val="20"/>
        </w:rPr>
        <w:t>9/29/00 - Trunkline filed new fuel rates, effective 11/1/00.  They reflect increases as follows:</w:t>
      </w:r>
    </w:p>
    <w:p>
      <w:pPr>
        <w:pStyle w:val="NormalIndent"/>
        <w:rPr>
          <w:sz w:val="20"/>
          <w:szCs w:val="20"/>
        </w:rPr>
      </w:pPr>
      <w:r>
        <w:rPr>
          <w:sz w:val="20"/>
          <w:szCs w:val="20"/>
        </w:rPr>
        <w:tab/>
        <w:t xml:space="preserve">+.62% </w:t>
        <w:tab/>
        <w:tab/>
        <w:t>Field Zone to Zone 2</w:t>
      </w:r>
    </w:p>
    <w:p>
      <w:pPr>
        <w:pStyle w:val="NormalIndent"/>
        <w:rPr>
          <w:sz w:val="20"/>
          <w:szCs w:val="20"/>
        </w:rPr>
      </w:pPr>
      <w:r>
        <w:rPr>
          <w:sz w:val="20"/>
          <w:szCs w:val="20"/>
        </w:rPr>
        <w:tab/>
        <w:t>+.57%</w:t>
        <w:tab/>
        <w:tab/>
        <w:t>Zone 1a to Zone 2</w:t>
      </w:r>
    </w:p>
    <w:p>
      <w:pPr>
        <w:pStyle w:val="NormalIndent"/>
        <w:rPr>
          <w:sz w:val="20"/>
          <w:szCs w:val="20"/>
        </w:rPr>
      </w:pPr>
      <w:r>
        <w:rPr>
          <w:sz w:val="20"/>
          <w:szCs w:val="20"/>
        </w:rPr>
        <w:tab/>
        <w:t>+.34%</w:t>
        <w:tab/>
        <w:tab/>
        <w:t>Zone 1B to Zone 2</w:t>
      </w:r>
    </w:p>
    <w:p>
      <w:pPr>
        <w:pStyle w:val="NormalIndent"/>
        <w:rPr>
          <w:sz w:val="20"/>
          <w:szCs w:val="20"/>
        </w:rPr>
      </w:pPr>
      <w:r>
        <w:rPr>
          <w:sz w:val="20"/>
          <w:szCs w:val="20"/>
        </w:rPr>
        <w:tab/>
        <w:t>+.14%</w:t>
        <w:tab/>
        <w:tab/>
        <w:t>Zone 2 only</w:t>
      </w:r>
    </w:p>
    <w:p>
      <w:pPr>
        <w:pStyle w:val="NormalIndent"/>
        <w:rPr>
          <w:sz w:val="20"/>
          <w:szCs w:val="20"/>
        </w:rPr>
      </w:pPr>
      <w:r>
        <w:rPr>
          <w:sz w:val="20"/>
          <w:szCs w:val="20"/>
        </w:rPr>
        <w:tab/>
        <w:t xml:space="preserve">+.68% </w:t>
        <w:tab/>
        <w:tab/>
        <w:t>Field Zone to Zone 1B</w:t>
      </w:r>
    </w:p>
    <w:p>
      <w:pPr>
        <w:pStyle w:val="NormalIndent"/>
        <w:rPr>
          <w:sz w:val="20"/>
          <w:szCs w:val="20"/>
        </w:rPr>
      </w:pPr>
      <w:r>
        <w:rPr>
          <w:sz w:val="20"/>
          <w:szCs w:val="20"/>
        </w:rPr>
        <w:tab/>
        <w:t>+.63%</w:t>
        <w:tab/>
        <w:tab/>
        <w:t>Zone 1a to Zone 1B</w:t>
      </w:r>
    </w:p>
    <w:p>
      <w:pPr>
        <w:pStyle w:val="NormalIndent"/>
        <w:rPr>
          <w:sz w:val="20"/>
          <w:szCs w:val="20"/>
        </w:rPr>
      </w:pPr>
      <w:r>
        <w:rPr>
          <w:sz w:val="20"/>
          <w:szCs w:val="20"/>
        </w:rPr>
        <w:tab/>
        <w:t>+.40%</w:t>
        <w:tab/>
        <w:tab/>
        <w:t>Zone 1B only</w:t>
      </w:r>
    </w:p>
    <w:p>
      <w:pPr>
        <w:pStyle w:val="NormalIndent"/>
        <w:rPr>
          <w:sz w:val="20"/>
          <w:szCs w:val="20"/>
        </w:rPr>
      </w:pPr>
      <w:r>
        <w:rPr>
          <w:sz w:val="20"/>
          <w:szCs w:val="20"/>
        </w:rPr>
        <w:tab/>
        <w:t>+.48%</w:t>
        <w:tab/>
        <w:tab/>
        <w:t>Field Zone to Zone 1A</w:t>
      </w:r>
    </w:p>
    <w:p>
      <w:pPr>
        <w:pStyle w:val="NormalIndent"/>
        <w:rPr>
          <w:sz w:val="20"/>
          <w:szCs w:val="20"/>
        </w:rPr>
      </w:pPr>
      <w:r>
        <w:rPr>
          <w:sz w:val="20"/>
          <w:szCs w:val="20"/>
        </w:rPr>
        <w:tab/>
        <w:t>+.43%</w:t>
        <w:tab/>
        <w:tab/>
        <w:t>Zone 1A only</w:t>
      </w:r>
    </w:p>
    <w:p>
      <w:pPr>
        <w:pStyle w:val="NormalIndent"/>
        <w:rPr>
          <w:sz w:val="20"/>
          <w:szCs w:val="20"/>
        </w:rPr>
      </w:pPr>
      <w:r>
        <w:rPr>
          <w:sz w:val="20"/>
          <w:szCs w:val="20"/>
        </w:rPr>
        <w:tab/>
        <w:t xml:space="preserve">+.25% </w:t>
        <w:tab/>
        <w:tab/>
        <w:t>Field Zone only</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9/27/00 - FERC issued a draft order approving WIC’s rate case settlement.  Rates will be effective 1/1/00, with refunds to be paid to the effective date, or 10/1/00.  Amoco is not included in the settlement and will litigate.  If the litigated rate is different, it will apply only to Amoco.</w:t>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2000-09-21T12:52:00Z</dcterms:created>
  <dc:creator>ECT</dc:creator>
  <dc:description/>
  <dc:language>en-CA</dc:language>
  <cp:lastModifiedBy>ECT</cp:lastModifiedBy>
  <cp:lastPrinted>2000-08-25T09:12:00Z</cp:lastPrinted>
  <dcterms:modified xsi:type="dcterms:W3CDTF">2000-10-18T16:27:00Z</dcterms:modified>
  <cp:revision>12</cp:revision>
  <dc:subject>Regulatory Filing Summary</dc:subject>
  <dc:title>Eron Capital &amp; Trade Resources Memo</dc:title>
</cp:coreProperties>
</file>