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Sandra Brawner, Chris Germany, Hunter Shively</w:t>
            </w:r>
          </w:p>
          <w:p>
            <w:pPr>
              <w:pStyle w:val="To"/>
              <w:widowControl/>
              <w:ind w:end="-643"/>
              <w:rPr/>
            </w:pPr>
            <w:r>
              <w:rPr/>
              <w:t>Dick Jenkins, Dan Junek, Tom Martin, Greg McClendon,</w:t>
            </w:r>
          </w:p>
          <w:p>
            <w:pPr>
              <w:pStyle w:val="To"/>
              <w:widowControl/>
              <w:ind w:end="-643"/>
              <w:rPr/>
            </w:pPr>
            <w:r>
              <w:rPr/>
              <w:t>Brad McKay, Scott Neal, Kim Olinger, Fletch Sturm,</w:t>
            </w:r>
          </w:p>
          <w:p>
            <w:pPr>
              <w:pStyle w:val="To"/>
              <w:widowControl/>
              <w:ind w:end="-643"/>
              <w:rPr/>
            </w:pPr>
            <w:r>
              <w:rPr/>
              <w:t>Judy Townsend, Elsa Villareal, Scott Goodell, Kate Fraser</w:t>
            </w:r>
          </w:p>
          <w:p>
            <w:pPr>
              <w:pStyle w:val="To"/>
              <w:widowControl/>
              <w:ind w:end="-643"/>
              <w:rPr/>
            </w:pPr>
            <w:r>
              <w:rPr/>
              <w:t>Keith Holst, Andy Lewis</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August 18,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Indent"/>
        <w:rPr>
          <w:sz w:val="20"/>
          <w:szCs w:val="20"/>
        </w:rPr>
      </w:pPr>
      <w:r>
        <w:rPr/>
        <w:t xml:space="preserve"> </w:t>
      </w:r>
    </w:p>
    <w:p>
      <w:pPr>
        <w:pStyle w:val="Normal"/>
        <w:rPr>
          <w:b/>
          <w:bCs/>
          <w:sz w:val="20"/>
          <w:szCs w:val="20"/>
        </w:rPr>
      </w:pPr>
      <w:r>
        <w:rPr>
          <w:b/>
          <w:bCs/>
          <w:sz w:val="20"/>
          <w:szCs w:val="20"/>
        </w:rPr>
        <w:t>ANR Pipeline Company</w:t>
      </w:r>
    </w:p>
    <w:p>
      <w:pPr>
        <w:pStyle w:val="NormalIndent"/>
        <w:rPr>
          <w:sz w:val="20"/>
          <w:szCs w:val="20"/>
        </w:rPr>
      </w:pPr>
      <w:r>
        <w:rPr>
          <w:sz w:val="20"/>
          <w:szCs w:val="20"/>
        </w:rPr>
        <w:t>7/21/00 - At the latest technical conference regarding ANR’s carryforward loss on cashouts, the customers are dissatisfied with the proposal.  They adamantly refuse to accept a “pooling surcharge”.  Four alternate options were proposed to ANR and will be explored later:  1) revisions to the FERC approved surcharge, making it more economically feasible for shippers; 2) historical tagging correlating shippers and their imbalance activity; 3) a tiering method for the surcharge, relative to the rate of imbalance activity; 4) changing the numbers in the offered settlement, stretching a smaller number over a longer length of time.</w:t>
      </w:r>
    </w:p>
    <w:p>
      <w:pPr>
        <w:pStyle w:val="NormalIndent"/>
        <w:rPr>
          <w:sz w:val="20"/>
          <w:szCs w:val="20"/>
        </w:rPr>
      </w:pPr>
      <w:r>
        <w:rPr>
          <w:sz w:val="20"/>
          <w:szCs w:val="20"/>
        </w:rPr>
      </w:r>
    </w:p>
    <w:p>
      <w:pPr>
        <w:pStyle w:val="Normal"/>
        <w:rPr>
          <w:b/>
          <w:bCs/>
          <w:sz w:val="20"/>
          <w:szCs w:val="20"/>
        </w:rPr>
      </w:pPr>
      <w:r>
        <w:rPr>
          <w:b/>
          <w:bCs/>
          <w:sz w:val="20"/>
          <w:szCs w:val="20"/>
        </w:rPr>
        <w:t>Columbia Gas Transmission Corporation</w:t>
      </w:r>
    </w:p>
    <w:p>
      <w:pPr>
        <w:pStyle w:val="NormalIndent"/>
        <w:rPr/>
      </w:pPr>
      <w:r>
        <w:rPr>
          <w:sz w:val="20"/>
          <w:szCs w:val="20"/>
        </w:rPr>
        <w:t>7/19/00 – CGT filed to increase the horsepower at its Kenova Compressor Station by adding a new 4000 HP unit to accommodate increased supplies (up to 40,000/day) from CNR’s gathering system</w:t>
      </w:r>
      <w:r>
        <w:rPr/>
        <w:t>.</w:t>
      </w:r>
    </w:p>
    <w:p>
      <w:pPr>
        <w:pStyle w:val="Normal"/>
        <w:rPr/>
      </w:pPr>
      <w:r>
        <w:rPr/>
      </w:r>
    </w:p>
    <w:p>
      <w:pPr>
        <w:pStyle w:val="Normal"/>
        <w:rPr>
          <w:b/>
          <w:bCs/>
          <w:sz w:val="20"/>
          <w:szCs w:val="20"/>
        </w:rPr>
      </w:pPr>
      <w:r>
        <w:rPr>
          <w:b/>
          <w:bCs/>
          <w:sz w:val="20"/>
          <w:szCs w:val="20"/>
        </w:rPr>
        <w:t>Columbia Gulf Transmission</w:t>
      </w:r>
    </w:p>
    <w:p>
      <w:pPr>
        <w:pStyle w:val="NormalIndent"/>
        <w:rPr>
          <w:sz w:val="20"/>
          <w:szCs w:val="20"/>
        </w:rPr>
      </w:pPr>
      <w:r>
        <w:rPr>
          <w:sz w:val="20"/>
          <w:szCs w:val="20"/>
        </w:rPr>
        <w:t xml:space="preserve">7/14/00 - CGulf filed notice of a negotiated rate deal with Virginia Power effective 11/1/00 through 3/31/01.  </w:t>
      </w:r>
    </w:p>
    <w:p>
      <w:pPr>
        <w:pStyle w:val="Normal"/>
        <w:rPr>
          <w:b/>
          <w:bCs/>
          <w:sz w:val="20"/>
          <w:szCs w:val="20"/>
        </w:rPr>
      </w:pPr>
      <w:r>
        <w:rPr>
          <w:b/>
          <w:bCs/>
          <w:sz w:val="20"/>
          <w:szCs w:val="20"/>
        </w:rPr>
      </w:r>
    </w:p>
    <w:p>
      <w:pPr>
        <w:pStyle w:val="Normal"/>
        <w:rPr>
          <w:b/>
          <w:bCs/>
          <w:sz w:val="20"/>
          <w:szCs w:val="20"/>
        </w:rPr>
      </w:pPr>
      <w:r>
        <w:rPr>
          <w:b/>
          <w:bCs/>
          <w:sz w:val="20"/>
          <w:szCs w:val="20"/>
        </w:rPr>
        <w:t>Dominion Transmission, Inc. (CNG)</w:t>
      </w:r>
    </w:p>
    <w:p>
      <w:pPr>
        <w:pStyle w:val="NormalIndent"/>
        <w:rPr>
          <w:sz w:val="20"/>
          <w:szCs w:val="20"/>
        </w:rPr>
      </w:pPr>
      <w:r>
        <w:rPr>
          <w:sz w:val="20"/>
          <w:szCs w:val="20"/>
        </w:rPr>
        <w:t>7/28/00 - Dominion filed notice of a negotiated rate deal with Virginia Power Services Energy Corp. effective 8/1/00 through 9/30/00.  The rate is $.10, with a minimum volume commitment of 1,500,000 over the term.  This minimum volume commitment would be waived if the Remington Plant is not operational by 9/30/00.  The receipt point is Oakford; delivery point is Nokesville, with a MDQ of 75,000/d and a total allowed volume of 4,575,000 MMBtu.</w:t>
      </w:r>
    </w:p>
    <w:p>
      <w:pPr>
        <w:pStyle w:val="Normal"/>
        <w:rPr>
          <w:b/>
          <w:bCs/>
          <w:sz w:val="20"/>
          <w:szCs w:val="20"/>
        </w:rPr>
      </w:pPr>
      <w:r>
        <w:rPr>
          <w:b/>
          <w:bCs/>
          <w:sz w:val="20"/>
          <w:szCs w:val="20"/>
        </w:rPr>
      </w:r>
    </w:p>
    <w:p>
      <w:pPr>
        <w:pStyle w:val="Normal"/>
        <w:rPr>
          <w:b/>
          <w:bCs/>
          <w:sz w:val="20"/>
          <w:szCs w:val="20"/>
        </w:rPr>
      </w:pPr>
      <w:r>
        <w:rPr>
          <w:b/>
          <w:bCs/>
          <w:sz w:val="20"/>
          <w:szCs w:val="20"/>
        </w:rPr>
        <w:t>Equitrans, Inc.</w:t>
      </w:r>
    </w:p>
    <w:p>
      <w:pPr>
        <w:pStyle w:val="NormalIndent"/>
        <w:rPr>
          <w:sz w:val="20"/>
          <w:szCs w:val="20"/>
        </w:rPr>
      </w:pPr>
      <w:r>
        <w:rPr>
          <w:sz w:val="20"/>
          <w:szCs w:val="20"/>
        </w:rPr>
        <w:t>7/27/00 - Equitrans filed for a one year surcharge of $.0134/Dth to collect under-recovered processing charges.  They also implemented a mechanism for one year to collect and pass through processing fees to Dominion, who is buying the processing plants.  After that time, all parties will negotiate processing rights separately.</w:t>
      </w:r>
    </w:p>
    <w:p>
      <w:pPr>
        <w:pStyle w:val="Normal"/>
        <w:rPr>
          <w:sz w:val="20"/>
          <w:szCs w:val="20"/>
        </w:rPr>
      </w:pPr>
      <w:r>
        <w:rPr>
          <w:sz w:val="20"/>
          <w:szCs w:val="20"/>
        </w:rPr>
      </w:r>
    </w:p>
    <w:p>
      <w:pPr>
        <w:pStyle w:val="NormalIndent"/>
        <w:rPr>
          <w:sz w:val="20"/>
          <w:szCs w:val="20"/>
        </w:rPr>
      </w:pPr>
      <w:r>
        <w:rPr>
          <w:sz w:val="20"/>
          <w:szCs w:val="20"/>
        </w:rPr>
        <w:t>7/14/00 – Equitrans filed new rates and fuel per the 1999 Settlement, effective 8/1/00.</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7/14/00 – FERC issued an Order rejecting SoCal’s arguments (denying a rehearing) against the Gallup extension.</w:t>
      </w:r>
    </w:p>
    <w:p>
      <w:pPr>
        <w:pStyle w:val="Normal"/>
        <w:rPr/>
      </w:pPr>
      <w:r>
        <w:rPr/>
      </w:r>
    </w:p>
    <w:p>
      <w:pPr>
        <w:pStyle w:val="NormalIndent"/>
        <w:rPr>
          <w:sz w:val="20"/>
          <w:szCs w:val="20"/>
        </w:rPr>
      </w:pPr>
      <w:r>
        <w:rPr>
          <w:sz w:val="20"/>
          <w:szCs w:val="20"/>
        </w:rPr>
        <w:t>7/28/00 – EPNG filed notice of a negotiated rate deal with Aquila effective August 1 for 19,550/d for service from Permian to FELMAC, INGPLUSK, WAHA, and INN30PLA.  The reservation charge is $.0448; usage is $.0052, plus fuel.</w:t>
      </w:r>
    </w:p>
    <w:p>
      <w:pPr>
        <w:pStyle w:val="NormalIndent"/>
        <w:rPr>
          <w:sz w:val="20"/>
          <w:szCs w:val="20"/>
        </w:rPr>
      </w:pPr>
      <w:r>
        <w:rPr>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t>Florida Gas Transmission Company</w:t>
      </w:r>
    </w:p>
    <w:p>
      <w:pPr>
        <w:pStyle w:val="NormalIndent"/>
        <w:rPr>
          <w:sz w:val="20"/>
          <w:szCs w:val="20"/>
        </w:rPr>
      </w:pPr>
      <w:r>
        <w:rPr>
          <w:sz w:val="20"/>
          <w:szCs w:val="20"/>
        </w:rPr>
        <w:t>7/27/00 - FGT filed tariff sheets allowing ROFR shippers to reduce contract demand by either a uniform percentage for each season or by the same absolute volume amount in each season, effective 8/28/00.</w:t>
      </w:r>
    </w:p>
    <w:p>
      <w:pPr>
        <w:pStyle w:val="Normal"/>
        <w:rPr>
          <w:b/>
          <w:bCs/>
          <w:sz w:val="20"/>
          <w:szCs w:val="20"/>
        </w:rPr>
      </w:pPr>
      <w:r>
        <w:rPr>
          <w:b/>
          <w:bCs/>
          <w:sz w:val="20"/>
          <w:szCs w:val="20"/>
        </w:rPr>
      </w:r>
    </w:p>
    <w:p>
      <w:pPr>
        <w:pStyle w:val="Normal"/>
        <w:rPr>
          <w:b/>
          <w:bCs/>
          <w:sz w:val="20"/>
          <w:szCs w:val="20"/>
        </w:rPr>
      </w:pPr>
      <w:r>
        <w:rPr>
          <w:b/>
          <w:bCs/>
          <w:sz w:val="20"/>
          <w:szCs w:val="20"/>
        </w:rPr>
        <w:t>Kern River Gas Transmission Company</w:t>
      </w:r>
    </w:p>
    <w:p>
      <w:pPr>
        <w:pStyle w:val="NormalIndent"/>
        <w:rPr>
          <w:sz w:val="20"/>
          <w:szCs w:val="20"/>
        </w:rPr>
      </w:pPr>
      <w:r>
        <w:rPr>
          <w:sz w:val="20"/>
          <w:szCs w:val="20"/>
        </w:rPr>
        <w:t>FERC approved the settlement on Extended Term rate option.  Original shippers who extend their agreements through 2011 or through 2016 are eligible for a rate reduction reflecting their revenue obligation over the extended term.  This will not take effect until 10/1/01, and final rates will not be available until after project refinancing is completed in 9/01.</w:t>
      </w:r>
    </w:p>
    <w:p>
      <w:pPr>
        <w:pStyle w:val="Normal"/>
        <w:rPr>
          <w:b/>
          <w:bCs/>
          <w:sz w:val="20"/>
          <w:szCs w:val="20"/>
        </w:rPr>
      </w:pPr>
      <w:r>
        <w:rPr>
          <w:b/>
          <w:bCs/>
          <w:sz w:val="20"/>
          <w:szCs w:val="20"/>
        </w:rPr>
      </w:r>
    </w:p>
    <w:p>
      <w:pPr>
        <w:pStyle w:val="Normal"/>
        <w:rPr>
          <w:b/>
          <w:bCs/>
          <w:sz w:val="20"/>
          <w:szCs w:val="20"/>
        </w:rPr>
      </w:pPr>
      <w:r>
        <w:rPr>
          <w:b/>
          <w:bCs/>
          <w:sz w:val="20"/>
          <w:szCs w:val="20"/>
        </w:rPr>
        <w:t>Koch Gateway Pipeline Company</w:t>
      </w:r>
    </w:p>
    <w:p>
      <w:pPr>
        <w:pStyle w:val="NormalIndent"/>
        <w:rPr>
          <w:sz w:val="20"/>
          <w:szCs w:val="20"/>
        </w:rPr>
      </w:pPr>
      <w:r>
        <w:rPr>
          <w:sz w:val="20"/>
          <w:szCs w:val="20"/>
        </w:rPr>
        <w:t>7/14/00 - Koch filed for a new summer only (May-September) service.  The term could be a single season or multi year, but would not allow for increased hourly flows above current tariff.  The proposed effective date is 8/14/00.</w:t>
      </w:r>
    </w:p>
    <w:p>
      <w:pPr>
        <w:pStyle w:val="NormalIndent"/>
        <w:rPr>
          <w:sz w:val="20"/>
          <w:szCs w:val="20"/>
        </w:rPr>
      </w:pPr>
      <w:r>
        <w:rPr>
          <w:sz w:val="20"/>
          <w:szCs w:val="20"/>
        </w:rPr>
      </w:r>
    </w:p>
    <w:p>
      <w:pPr>
        <w:pStyle w:val="NormalIndent"/>
        <w:rPr/>
      </w:pPr>
      <w:r>
        <w:rPr>
          <w:sz w:val="20"/>
          <w:szCs w:val="20"/>
        </w:rPr>
        <w:t>7/26/00 - FERC issued a Draft Order approving auctions for PAL and ISS services.  Koch will create an interactive auctions process via the Internet whereby a minimum rate is set pursuant to a request for service from some customer and it is posted on Koch’s EBB by 10:00 a.m.    Other parties have an opportunity to bid on the space between 1:30 and 1:40 pm.  The high bidder is given 10 minutes to accept or decline the service they won.</w:t>
      </w:r>
      <w:r>
        <w:rPr>
          <w:b/>
          <w:bCs/>
        </w:rPr>
        <w:t xml:space="preserve"> </w:t>
      </w:r>
    </w:p>
    <w:p>
      <w:pPr>
        <w:pStyle w:val="NormalIndent"/>
        <w:rPr>
          <w:b/>
          <w:bCs/>
        </w:rPr>
      </w:pPr>
      <w:r>
        <w:rPr>
          <w:b/>
          <w:bCs/>
        </w:rPr>
      </w:r>
    </w:p>
    <w:p>
      <w:pPr>
        <w:pStyle w:val="Normal"/>
        <w:rPr>
          <w:b/>
          <w:bCs/>
          <w:sz w:val="20"/>
          <w:szCs w:val="20"/>
        </w:rPr>
      </w:pPr>
      <w:r>
        <w:rPr>
          <w:b/>
          <w:bCs/>
          <w:sz w:val="20"/>
          <w:szCs w:val="20"/>
        </w:rPr>
        <w:t>Maritimes &amp; Northeast Pipeline, LLC</w:t>
      </w:r>
    </w:p>
    <w:p>
      <w:pPr>
        <w:pStyle w:val="NormalIndent"/>
        <w:rPr>
          <w:sz w:val="20"/>
          <w:szCs w:val="20"/>
        </w:rPr>
      </w:pPr>
      <w:r>
        <w:rPr>
          <w:sz w:val="20"/>
          <w:szCs w:val="20"/>
        </w:rPr>
        <w:t>7/31/00 – FERC is reviewing M&amp;N’s rates pursuant to a request for rehearing filed by Boston Gas.</w:t>
      </w:r>
    </w:p>
    <w:p>
      <w:pPr>
        <w:pStyle w:val="NormalIndent"/>
        <w:rPr>
          <w:sz w:val="20"/>
          <w:szCs w:val="20"/>
        </w:rPr>
      </w:pPr>
      <w:r>
        <w:rPr>
          <w:sz w:val="20"/>
          <w:szCs w:val="20"/>
        </w:rPr>
      </w:r>
    </w:p>
    <w:p>
      <w:pPr>
        <w:pStyle w:val="Normal"/>
        <w:rPr>
          <w:b/>
          <w:bCs/>
          <w:sz w:val="20"/>
          <w:szCs w:val="20"/>
        </w:rPr>
      </w:pPr>
      <w:r>
        <w:rPr>
          <w:b/>
          <w:bCs/>
          <w:sz w:val="20"/>
          <w:szCs w:val="20"/>
        </w:rPr>
        <w:t>Mississippi River Transmission Corporation</w:t>
      </w:r>
    </w:p>
    <w:p>
      <w:pPr>
        <w:pStyle w:val="NormalIndent"/>
        <w:rPr>
          <w:sz w:val="20"/>
          <w:szCs w:val="20"/>
        </w:rPr>
      </w:pPr>
      <w:r>
        <w:rPr>
          <w:sz w:val="20"/>
          <w:szCs w:val="20"/>
        </w:rPr>
        <w:t>7/28/00 – MRT filed for permission to implement a small surcharge ($.0016) for 3 months (9/00 through 11/00) to recover additional Gas Supply Realignment Costs of $201,480.</w:t>
      </w:r>
    </w:p>
    <w:p>
      <w:pPr>
        <w:pStyle w:val="NormalIndent"/>
        <w:rPr>
          <w:sz w:val="20"/>
          <w:szCs w:val="20"/>
        </w:rPr>
      </w:pPr>
      <w:r>
        <w:rPr>
          <w:sz w:val="20"/>
          <w:szCs w:val="20"/>
        </w:rPr>
      </w:r>
    </w:p>
    <w:p>
      <w:pPr>
        <w:pStyle w:val="Normal"/>
        <w:rPr>
          <w:b/>
          <w:bCs/>
          <w:sz w:val="20"/>
          <w:szCs w:val="20"/>
        </w:rPr>
      </w:pPr>
      <w:r>
        <w:rPr>
          <w:b/>
          <w:bCs/>
          <w:sz w:val="20"/>
          <w:szCs w:val="20"/>
        </w:rPr>
        <w:t>National Fuel Gas Supply Corporation</w:t>
      </w:r>
    </w:p>
    <w:p>
      <w:pPr>
        <w:pStyle w:val="NormalIndent"/>
        <w:rPr>
          <w:sz w:val="20"/>
          <w:szCs w:val="20"/>
        </w:rPr>
      </w:pPr>
      <w:r>
        <w:rPr>
          <w:sz w:val="20"/>
          <w:szCs w:val="20"/>
        </w:rPr>
        <w:t>8/7/00 – Nfuel filed for a new interruptible gathering rate of $.19 effective 8/1/00.</w:t>
      </w:r>
    </w:p>
    <w:p>
      <w:pPr>
        <w:pStyle w:val="NormalIndent"/>
        <w:rPr>
          <w:sz w:val="20"/>
          <w:szCs w:val="20"/>
        </w:rPr>
      </w:pPr>
      <w:r>
        <w:rPr>
          <w:sz w:val="20"/>
          <w:szCs w:val="20"/>
        </w:rPr>
      </w:r>
    </w:p>
    <w:p>
      <w:pPr>
        <w:pStyle w:val="Normal"/>
        <w:rPr>
          <w:b/>
          <w:bCs/>
          <w:sz w:val="20"/>
          <w:szCs w:val="20"/>
        </w:rPr>
      </w:pPr>
      <w:r>
        <w:rPr>
          <w:b/>
          <w:bCs/>
          <w:sz w:val="20"/>
          <w:szCs w:val="20"/>
        </w:rPr>
        <w:t>Natural Gas Pipeline Company</w:t>
      </w:r>
    </w:p>
    <w:p>
      <w:pPr>
        <w:pStyle w:val="NormalIndent"/>
        <w:rPr>
          <w:sz w:val="20"/>
          <w:szCs w:val="20"/>
        </w:rPr>
      </w:pPr>
      <w:r>
        <w:rPr>
          <w:sz w:val="20"/>
          <w:szCs w:val="20"/>
        </w:rPr>
        <w:t>FERC issued a draft order approving NGPL’s Flexible Firm Service subject to conditions, to be effective 8/1/00.  NGPL must provide additional data, and make some changes as follows.  NGPL must file all FFTS contracts 30 days before initial service.  NGPL must also file a report after one year of operating experience with the FFTS service.  Service beyond the contract max # of Available Days is authorized overrun service and must be scheduled and curtailed like other overrun volumes.  NGPL must specify up front what would cause a particular day to NOT be an Available Day under the service.  NGPL, not the releasing shipper, must advise replacement shippers if days are not Available Days under the service.</w:t>
      </w:r>
    </w:p>
    <w:p>
      <w:pPr>
        <w:pStyle w:val="NormalIndent"/>
        <w:rPr>
          <w:sz w:val="20"/>
          <w:szCs w:val="20"/>
        </w:rPr>
      </w:pPr>
      <w:r>
        <w:rPr>
          <w:sz w:val="20"/>
          <w:szCs w:val="20"/>
        </w:rPr>
      </w:r>
    </w:p>
    <w:p>
      <w:pPr>
        <w:pStyle w:val="Normal"/>
        <w:rPr>
          <w:b/>
          <w:bCs/>
          <w:sz w:val="20"/>
          <w:szCs w:val="20"/>
        </w:rPr>
      </w:pPr>
      <w:r>
        <w:rPr>
          <w:b/>
          <w:bCs/>
          <w:sz w:val="20"/>
          <w:szCs w:val="20"/>
        </w:rPr>
        <w:t>Northern Border Pipeline Company</w:t>
      </w:r>
    </w:p>
    <w:p>
      <w:pPr>
        <w:pStyle w:val="NormalIndent"/>
        <w:rPr>
          <w:sz w:val="20"/>
          <w:szCs w:val="20"/>
        </w:rPr>
      </w:pPr>
      <w:r>
        <w:rPr>
          <w:sz w:val="20"/>
          <w:szCs w:val="20"/>
        </w:rPr>
        <w:t>7/21/00 – Outside counsel issued a memo regarding the settlement drafting session at FERC.  He expects the Revenue Sharing to be substantially revised, as well as the Termination of Moratorium section.</w:t>
      </w:r>
    </w:p>
    <w:p>
      <w:pPr>
        <w:pStyle w:val="NormalIndent"/>
        <w:rPr>
          <w:sz w:val="20"/>
          <w:szCs w:val="20"/>
        </w:rPr>
      </w:pPr>
      <w:r>
        <w:rPr>
          <w:sz w:val="20"/>
          <w:szCs w:val="20"/>
        </w:rPr>
      </w:r>
    </w:p>
    <w:p>
      <w:pPr>
        <w:pStyle w:val="NormalIndent"/>
        <w:rPr>
          <w:sz w:val="20"/>
          <w:szCs w:val="20"/>
        </w:rPr>
      </w:pPr>
      <w:r>
        <w:rPr>
          <w:sz w:val="20"/>
          <w:szCs w:val="20"/>
        </w:rPr>
        <w:t>8/4/00 – FERC extended the deadline until 11/30/01 for NB to complete Project 2000.</w:t>
      </w:r>
    </w:p>
    <w:p>
      <w:pPr>
        <w:pStyle w:val="NormalIndent"/>
        <w:rPr>
          <w:sz w:val="20"/>
          <w:szCs w:val="20"/>
        </w:rPr>
      </w:pPr>
      <w:r>
        <w:rPr>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7/31/00 – NNG filed notice of a negotiated rate deal effective 8/1/00 with Dynegy for service from Ventura (primary receipt pt) or Demarc, Beatrice and Mid 17 (alternate receipt pts) to NIGAS/East Dubuque.  The volume is 11,342/d with a rate equal to the Gas Daily spread between Ventura and Chicago less fuel less $.015.  If that spread results in a spread less than the minimum rate, the minimum rate will be charged.</w:t>
      </w:r>
    </w:p>
    <w:p>
      <w:pPr>
        <w:pStyle w:val="NormalIndent"/>
        <w:rPr>
          <w:sz w:val="20"/>
          <w:szCs w:val="20"/>
        </w:rPr>
      </w:pPr>
      <w:r>
        <w:rPr>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8/1/00 – PG&amp;E filed notice of a negotiated rate deal with Sempra Energy Trading effective 8/1/00-9/30/00 for service from Kingsgate to Malin for 30,000/d.</w:t>
      </w:r>
      <w:r>
        <w:br w:type="page"/>
      </w:r>
    </w:p>
    <w:p>
      <w:pPr>
        <w:pStyle w:val="NormalIndent"/>
        <w:rPr>
          <w:sz w:val="20"/>
          <w:szCs w:val="20"/>
        </w:rPr>
      </w:pPr>
      <w:r>
        <w:rPr>
          <w:sz w:val="20"/>
          <w:szCs w:val="20"/>
        </w:rPr>
      </w:r>
    </w:p>
    <w:p>
      <w:pPr>
        <w:pStyle w:val="NormalIndent"/>
        <w:rPr>
          <w:sz w:val="20"/>
          <w:szCs w:val="20"/>
        </w:rPr>
      </w:pPr>
      <w:r>
        <w:rPr>
          <w:sz w:val="20"/>
          <w:szCs w:val="20"/>
        </w:rPr>
      </w:r>
    </w:p>
    <w:p>
      <w:pPr>
        <w:pStyle w:val="Normal"/>
        <w:rPr>
          <w:b/>
          <w:bCs/>
          <w:sz w:val="20"/>
          <w:szCs w:val="20"/>
        </w:rPr>
      </w:pPr>
      <w:r>
        <w:rPr>
          <w:b/>
          <w:bCs/>
          <w:sz w:val="20"/>
          <w:szCs w:val="20"/>
        </w:rPr>
        <w:t>Questar Pipeline Company</w:t>
      </w:r>
    </w:p>
    <w:p>
      <w:pPr>
        <w:pStyle w:val="NormalIndent"/>
        <w:rPr/>
      </w:pPr>
      <w:r>
        <w:rPr>
          <w:sz w:val="20"/>
          <w:szCs w:val="20"/>
        </w:rPr>
        <w:t xml:space="preserve">7/12/00 – Questar filed for a fuel percentage reduction (from 2.4 to 2.1%) effective </w:t>
      </w:r>
      <w:r>
        <w:rPr>
          <w:b/>
          <w:bCs/>
          <w:sz w:val="20"/>
          <w:szCs w:val="20"/>
        </w:rPr>
        <w:t>1/1/00</w:t>
      </w:r>
      <w:r>
        <w:rPr>
          <w:sz w:val="20"/>
          <w:szCs w:val="20"/>
        </w:rPr>
        <w:t>.  Differences between this rate and what was actually withheld will be credited.</w:t>
      </w:r>
    </w:p>
    <w:p>
      <w:pPr>
        <w:pStyle w:val="NormalIndent"/>
        <w:rPr>
          <w:sz w:val="20"/>
          <w:szCs w:val="20"/>
        </w:rPr>
      </w:pPr>
      <w:r>
        <w:rPr>
          <w:sz w:val="20"/>
          <w:szCs w:val="20"/>
        </w:rPr>
      </w:r>
    </w:p>
    <w:p>
      <w:pPr>
        <w:pStyle w:val="Normal"/>
        <w:rPr>
          <w:b/>
          <w:bCs/>
          <w:sz w:val="20"/>
          <w:szCs w:val="20"/>
        </w:rPr>
      </w:pPr>
      <w:r>
        <w:rPr>
          <w:b/>
          <w:bCs/>
          <w:sz w:val="20"/>
          <w:szCs w:val="20"/>
        </w:rPr>
        <w:t>Reliant Gas Transmission Company</w:t>
      </w:r>
    </w:p>
    <w:p>
      <w:pPr>
        <w:pStyle w:val="NormalIndent"/>
        <w:rPr>
          <w:sz w:val="20"/>
          <w:szCs w:val="20"/>
        </w:rPr>
      </w:pPr>
      <w:r>
        <w:rPr>
          <w:sz w:val="20"/>
          <w:szCs w:val="20"/>
        </w:rPr>
        <w:t>7/31/00 – Reliant filed notice of negotiated rate deals as follows:  one is with Williams for 11,500/d for service from the West Pooling Areas to CGT/Perryville.  The other is with Dynegy for 13,000/d for service from the Neutral and South Pooling Areas to various delivery points.  Both contracts have index based rates based on Gas Daily prices with a $.01 minimum.  Reliant also filed notice of termination of its negotiated rate deal with Conoco for service from the Goldsby Plant to CGT/Perryville.</w:t>
      </w:r>
    </w:p>
    <w:p>
      <w:pPr>
        <w:pStyle w:val="NormalIndent"/>
        <w:rPr>
          <w:sz w:val="20"/>
          <w:szCs w:val="20"/>
        </w:rPr>
      </w:pPr>
      <w:r>
        <w:rPr>
          <w:sz w:val="20"/>
          <w:szCs w:val="20"/>
        </w:rPr>
      </w:r>
    </w:p>
    <w:p>
      <w:pPr>
        <w:pStyle w:val="Normal"/>
        <w:rPr>
          <w:b/>
          <w:bCs/>
          <w:sz w:val="20"/>
          <w:szCs w:val="20"/>
        </w:rPr>
      </w:pPr>
      <w:r>
        <w:rPr>
          <w:b/>
          <w:bCs/>
          <w:sz w:val="20"/>
          <w:szCs w:val="20"/>
        </w:rPr>
        <w:t>Southern Natural Gas Company</w:t>
      </w:r>
    </w:p>
    <w:p>
      <w:pPr>
        <w:pStyle w:val="NormalIndent"/>
        <w:rPr>
          <w:sz w:val="20"/>
          <w:szCs w:val="20"/>
        </w:rPr>
      </w:pPr>
      <w:r>
        <w:rPr>
          <w:sz w:val="20"/>
          <w:szCs w:val="20"/>
        </w:rPr>
        <w:t xml:space="preserve">7/26/00 – Southern filed copies of the FT agreements which support the South System Expansion.  These had previously been withheld due to confidentiality concerns.  The shippers are Southern Company Services, Inc., South Carolina Pipeline Corporation and the City of LaGrange, GA.  </w:t>
      </w:r>
    </w:p>
    <w:p>
      <w:pPr>
        <w:pStyle w:val="NormalIndent"/>
        <w:rPr>
          <w:sz w:val="20"/>
          <w:szCs w:val="20"/>
        </w:rPr>
      </w:pPr>
      <w:r>
        <w:rPr>
          <w:sz w:val="20"/>
          <w:szCs w:val="20"/>
        </w:rPr>
      </w:r>
    </w:p>
    <w:p>
      <w:pPr>
        <w:pStyle w:val="Normal"/>
        <w:rPr>
          <w:b/>
          <w:bCs/>
          <w:sz w:val="20"/>
          <w:szCs w:val="20"/>
        </w:rPr>
      </w:pPr>
      <w:r>
        <w:rPr>
          <w:b/>
          <w:bCs/>
          <w:sz w:val="20"/>
          <w:szCs w:val="20"/>
        </w:rPr>
        <w:t>Suprex Energy Corporation</w:t>
      </w:r>
    </w:p>
    <w:p>
      <w:pPr>
        <w:pStyle w:val="NormalIndent"/>
        <w:rPr>
          <w:sz w:val="20"/>
          <w:szCs w:val="20"/>
        </w:rPr>
      </w:pPr>
      <w:r>
        <w:rPr>
          <w:sz w:val="20"/>
          <w:szCs w:val="20"/>
        </w:rPr>
        <w:t>7/14/00 – A Notice of Application was filed for Suprex Energy seeking authority to build and operate pipeline facilities between the U.S. and Canada in Toole County, Montana to import unprocessed, shut-in gas and deliver it to Montana Power Gas Company (which has available gas processing capacity).</w:t>
      </w:r>
    </w:p>
    <w:p>
      <w:pPr>
        <w:pStyle w:val="NormalIndent"/>
        <w:rPr>
          <w:sz w:val="20"/>
          <w:szCs w:val="20"/>
        </w:rPr>
      </w:pPr>
      <w:r>
        <w:rPr>
          <w:sz w:val="20"/>
          <w:szCs w:val="20"/>
        </w:rPr>
      </w:r>
    </w:p>
    <w:p>
      <w:pPr>
        <w:pStyle w:val="Normal"/>
        <w:rPr>
          <w:b/>
          <w:bCs/>
          <w:sz w:val="20"/>
          <w:szCs w:val="20"/>
        </w:rPr>
      </w:pPr>
      <w:r>
        <w:rPr>
          <w:b/>
          <w:bCs/>
          <w:sz w:val="20"/>
          <w:szCs w:val="20"/>
        </w:rPr>
        <w:t>Tennessee Gas Pipeline Company</w:t>
      </w:r>
    </w:p>
    <w:p>
      <w:pPr>
        <w:pStyle w:val="NormalIndent"/>
        <w:rPr>
          <w:sz w:val="20"/>
          <w:szCs w:val="20"/>
        </w:rPr>
      </w:pPr>
      <w:r>
        <w:rPr>
          <w:sz w:val="20"/>
          <w:szCs w:val="20"/>
        </w:rPr>
        <w:t>7/24/00 – Tenn made its compliance filing to change NPV provisions for awarding capacity.  It also is clarifying that open seasons may be triggered by a shipper’s interest in capacity; however, Tenn may not enter into a prearranged deal while an open season is being held for that capacity.</w:t>
      </w:r>
    </w:p>
    <w:p>
      <w:pPr>
        <w:pStyle w:val="NormalIndent"/>
        <w:rPr>
          <w:sz w:val="20"/>
          <w:szCs w:val="20"/>
        </w:rPr>
      </w:pPr>
      <w:r>
        <w:rPr>
          <w:sz w:val="20"/>
          <w:szCs w:val="20"/>
        </w:rPr>
      </w:r>
    </w:p>
    <w:p>
      <w:pPr>
        <w:pStyle w:val="Normal"/>
        <w:rPr>
          <w:b/>
          <w:bCs/>
          <w:sz w:val="20"/>
          <w:szCs w:val="20"/>
        </w:rPr>
      </w:pPr>
      <w:r>
        <w:rPr>
          <w:b/>
          <w:bCs/>
          <w:sz w:val="20"/>
          <w:szCs w:val="20"/>
        </w:rPr>
        <w:t>Texas Gas Transmission Corporation</w:t>
      </w:r>
    </w:p>
    <w:p>
      <w:pPr>
        <w:pStyle w:val="NormalIndent"/>
        <w:rPr>
          <w:sz w:val="20"/>
          <w:szCs w:val="20"/>
        </w:rPr>
      </w:pPr>
      <w:r>
        <w:rPr>
          <w:sz w:val="20"/>
          <w:szCs w:val="20"/>
        </w:rPr>
        <w:t>7/31/00 – TGT filed for authority to negotiate rates, particularly for SNS, and the ability to give certain kinds of discounts without filing as non-conforming.</w:t>
      </w:r>
    </w:p>
    <w:p>
      <w:pPr>
        <w:pStyle w:val="NormalIndent"/>
        <w:rPr>
          <w:sz w:val="20"/>
          <w:szCs w:val="20"/>
        </w:rPr>
      </w:pPr>
      <w:r>
        <w:rPr>
          <w:sz w:val="20"/>
          <w:szCs w:val="20"/>
        </w:rPr>
      </w:r>
    </w:p>
    <w:p>
      <w:pPr>
        <w:pStyle w:val="Normal"/>
        <w:rPr>
          <w:b/>
          <w:bCs/>
          <w:sz w:val="20"/>
          <w:szCs w:val="20"/>
        </w:rPr>
      </w:pPr>
      <w:r>
        <w:rPr>
          <w:b/>
          <w:bCs/>
          <w:sz w:val="20"/>
          <w:szCs w:val="20"/>
        </w:rPr>
        <w:t>Texas Ohio Pipeline, Inc.</w:t>
      </w:r>
    </w:p>
    <w:p>
      <w:pPr>
        <w:pStyle w:val="NormalIndent"/>
        <w:rPr>
          <w:sz w:val="20"/>
          <w:szCs w:val="20"/>
        </w:rPr>
      </w:pPr>
      <w:r>
        <w:rPr>
          <w:sz w:val="20"/>
          <w:szCs w:val="20"/>
        </w:rPr>
        <w:t>8/1/00 – Texas Ohio requested waiver of the requirement for it to make an Order 637 compliance filing since they are trying to shut down operations.  The pipeline consists of one compressor and 600 feet of 10 inch pipeline in Garrard County, KY, connecting Tennessee to Texas Eastern.  It has not transported any gas for over two years.</w:t>
      </w:r>
    </w:p>
    <w:p>
      <w:pPr>
        <w:pStyle w:val="NormalIndent"/>
        <w:rPr>
          <w:sz w:val="20"/>
          <w:szCs w:val="20"/>
        </w:rPr>
      </w:pPr>
      <w:r>
        <w:rPr>
          <w:sz w:val="20"/>
          <w:szCs w:val="20"/>
        </w:rPr>
      </w:r>
    </w:p>
    <w:p>
      <w:pPr>
        <w:pStyle w:val="Normal"/>
        <w:rPr>
          <w:b/>
          <w:bCs/>
          <w:sz w:val="20"/>
          <w:szCs w:val="20"/>
        </w:rPr>
      </w:pPr>
      <w:r>
        <w:rPr>
          <w:b/>
          <w:bCs/>
          <w:sz w:val="20"/>
          <w:szCs w:val="20"/>
        </w:rPr>
        <w:t>Transcontinental Gas Pipe Line Corporation</w:t>
      </w:r>
    </w:p>
    <w:p>
      <w:pPr>
        <w:pStyle w:val="NormalIndent"/>
        <w:rPr>
          <w:sz w:val="20"/>
          <w:szCs w:val="20"/>
        </w:rPr>
      </w:pPr>
      <w:r>
        <w:rPr>
          <w:sz w:val="20"/>
          <w:szCs w:val="20"/>
        </w:rPr>
        <w:t>7/24/00 - FERC has requested additional data from Transco regarding its Sundance project as a result of a filing made by Piedmont.  Piedmont filed comments with FERC pointing out many discrepancies in flow diagrams, pressures, fuel, capacity, and peak day flexibility volumes—now FERC wants an explanation from Transco.</w:t>
      </w:r>
    </w:p>
    <w:p>
      <w:pPr>
        <w:pStyle w:val="NormalIndent"/>
        <w:rPr>
          <w:sz w:val="20"/>
          <w:szCs w:val="20"/>
        </w:rPr>
      </w:pPr>
      <w:r>
        <w:rPr>
          <w:sz w:val="20"/>
          <w:szCs w:val="20"/>
        </w:rPr>
      </w:r>
    </w:p>
    <w:p>
      <w:pPr>
        <w:pStyle w:val="NormalIndent"/>
        <w:rPr>
          <w:sz w:val="20"/>
          <w:szCs w:val="20"/>
        </w:rPr>
      </w:pPr>
      <w:r>
        <w:rPr>
          <w:sz w:val="20"/>
          <w:szCs w:val="20"/>
        </w:rPr>
        <w:t>7/26/00 - FERC accepted Transco’s filing on segmented capacity restrictions, limiting capacity usage of the combined nominations of releasing and replacement shippers in a segment to the firm capacity entitlement of the original capacity holder.</w:t>
      </w:r>
    </w:p>
    <w:p>
      <w:pPr>
        <w:pStyle w:val="NormalIndent"/>
        <w:rPr>
          <w:sz w:val="20"/>
          <w:szCs w:val="20"/>
        </w:rPr>
      </w:pPr>
      <w:r>
        <w:rPr>
          <w:sz w:val="20"/>
          <w:szCs w:val="20"/>
        </w:rPr>
      </w:r>
    </w:p>
    <w:p>
      <w:pPr>
        <w:pStyle w:val="NormalIndent"/>
        <w:rPr>
          <w:sz w:val="20"/>
          <w:szCs w:val="20"/>
        </w:rPr>
      </w:pPr>
      <w:r>
        <w:rPr>
          <w:sz w:val="20"/>
          <w:szCs w:val="20"/>
        </w:rPr>
        <w:t>7/31/00 – Transco’s IT Feeder rates versus firm to the wellhead are under consideration again.  Transco did not make clear in its filing what it wants to do, but FERC has asked shippers for certain information regarding Transco’s various proposals.</w:t>
      </w:r>
    </w:p>
    <w:p>
      <w:pPr>
        <w:pStyle w:val="Normal"/>
        <w:rPr>
          <w:b/>
          <w:bCs/>
          <w:sz w:val="20"/>
          <w:szCs w:val="20"/>
        </w:rPr>
      </w:pPr>
      <w:r>
        <w:rPr>
          <w:b/>
          <w:bCs/>
          <w:sz w:val="20"/>
          <w:szCs w:val="20"/>
        </w:rPr>
      </w:r>
    </w:p>
    <w:p>
      <w:pPr>
        <w:pStyle w:val="Normal"/>
        <w:rPr>
          <w:b/>
          <w:bCs/>
          <w:sz w:val="20"/>
          <w:szCs w:val="20"/>
        </w:rPr>
      </w:pPr>
      <w:r>
        <w:rPr>
          <w:b/>
          <w:bCs/>
          <w:sz w:val="20"/>
          <w:szCs w:val="20"/>
        </w:rPr>
        <w:t>Trunkline Gas Company</w:t>
      </w:r>
    </w:p>
    <w:p>
      <w:pPr>
        <w:pStyle w:val="NormalIndent"/>
        <w:rPr>
          <w:sz w:val="20"/>
          <w:szCs w:val="20"/>
        </w:rPr>
      </w:pPr>
      <w:r>
        <w:rPr>
          <w:sz w:val="20"/>
          <w:szCs w:val="20"/>
        </w:rPr>
        <w:t>7/13/00 - Trunkline filed new tariff sheets to implement bi-directional TABS-1 transfers within a gas day, to be effective 8/12/00.</w:t>
      </w:r>
      <w:r>
        <w:br w:type="page"/>
      </w:r>
    </w:p>
    <w:p>
      <w:pPr>
        <w:pStyle w:val="NormalIndent"/>
        <w:rPr>
          <w:sz w:val="20"/>
          <w:szCs w:val="20"/>
        </w:rPr>
      </w:pPr>
      <w:r>
        <w:rPr>
          <w:sz w:val="20"/>
          <w:szCs w:val="20"/>
        </w:rPr>
      </w:r>
    </w:p>
    <w:p>
      <w:pPr>
        <w:pStyle w:val="Normal"/>
        <w:rPr>
          <w:b/>
          <w:bCs/>
          <w:sz w:val="20"/>
          <w:szCs w:val="20"/>
        </w:rPr>
      </w:pPr>
      <w:r>
        <w:rPr>
          <w:b/>
          <w:bCs/>
          <w:sz w:val="20"/>
          <w:szCs w:val="20"/>
        </w:rPr>
        <w:t>Vector Pipeline L.P.</w:t>
      </w:r>
    </w:p>
    <w:p>
      <w:pPr>
        <w:pStyle w:val="NormalIndent"/>
        <w:rPr>
          <w:sz w:val="20"/>
          <w:szCs w:val="20"/>
        </w:rPr>
      </w:pPr>
      <w:r>
        <w:rPr>
          <w:sz w:val="20"/>
          <w:szCs w:val="20"/>
        </w:rPr>
        <w:t>6/27/00 – Vector filed to change its recourse rate from $.267 to $.248/Dth, change its cost of debt from 7.2% to 8.55%, allocate $1 million of its fixed cost of service to IT and system management services, and implement zone rates.  It also revised its capital cost estimate upward by $76,355,000 (17% increase).</w:t>
      </w:r>
    </w:p>
    <w:p>
      <w:pPr>
        <w:pStyle w:val="NormalIndent"/>
        <w:rPr>
          <w:sz w:val="20"/>
          <w:szCs w:val="20"/>
        </w:rPr>
      </w:pPr>
      <w:r>
        <w:rPr>
          <w:sz w:val="20"/>
          <w:szCs w:val="20"/>
        </w:rPr>
      </w:r>
    </w:p>
    <w:p>
      <w:pPr>
        <w:pStyle w:val="Normal"/>
        <w:rPr>
          <w:b/>
          <w:bCs/>
          <w:sz w:val="20"/>
          <w:szCs w:val="20"/>
        </w:rPr>
      </w:pPr>
      <w:r>
        <w:rPr>
          <w:b/>
          <w:bCs/>
          <w:sz w:val="20"/>
          <w:szCs w:val="20"/>
        </w:rPr>
        <w:t>Williams Gas Pipelines Central, Inc.</w:t>
      </w:r>
    </w:p>
    <w:p>
      <w:pPr>
        <w:pStyle w:val="NormalIndent"/>
        <w:rPr>
          <w:sz w:val="20"/>
          <w:szCs w:val="20"/>
        </w:rPr>
      </w:pPr>
      <w:r>
        <w:rPr>
          <w:sz w:val="20"/>
          <w:szCs w:val="20"/>
        </w:rPr>
        <w:t>7/31/00 – Williams filed for authority to negotiate rates, and the ability to give certain kinds of discounts without filing as non-conforming.</w:t>
      </w:r>
    </w:p>
    <w:p>
      <w:pPr>
        <w:pStyle w:val="NormalIndent"/>
        <w:rPr>
          <w:sz w:val="20"/>
          <w:szCs w:val="20"/>
        </w:rPr>
      </w:pPr>
      <w:r>
        <w:rPr>
          <w:sz w:val="20"/>
          <w:szCs w:val="20"/>
        </w:rPr>
      </w:r>
    </w:p>
    <w:p>
      <w:pPr>
        <w:pStyle w:val="Normal"/>
        <w:rPr>
          <w:b/>
          <w:bCs/>
          <w:sz w:val="20"/>
          <w:szCs w:val="20"/>
        </w:rPr>
      </w:pPr>
      <w:r>
        <w:rPr>
          <w:b/>
          <w:bCs/>
          <w:sz w:val="20"/>
          <w:szCs w:val="20"/>
        </w:rPr>
        <w:t>Williston Basin Interstate Pipeline Company</w:t>
      </w:r>
    </w:p>
    <w:p>
      <w:pPr>
        <w:pStyle w:val="NormalIndent"/>
        <w:rPr>
          <w:sz w:val="20"/>
          <w:szCs w:val="20"/>
        </w:rPr>
      </w:pPr>
      <w:r>
        <w:rPr>
          <w:sz w:val="20"/>
          <w:szCs w:val="20"/>
        </w:rPr>
        <w:t>7/20/00 - FERC approved WB’s fuel adjustments effective 8/1/00.</w:t>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7/27/00 - WIC filed its annual Columbia Gas Transmission Exit Fee Surcharge Credit, resulting in a credit of $.099 reservation and $.0033 commodity.</w:t>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2000-08-24T12:21:00Z</dcterms:created>
  <dc:creator>ECT</dc:creator>
  <dc:description/>
  <dc:language>en-CA</dc:language>
  <cp:lastModifiedBy>ECT</cp:lastModifiedBy>
  <cp:lastPrinted>2000-08-25T09:12:00Z</cp:lastPrinted>
  <dcterms:modified xsi:type="dcterms:W3CDTF">2000-08-25T11:52:00Z</dcterms:modified>
  <cp:revision>4</cp:revision>
  <dc:subject>Regulatory Filing Summary</dc:subject>
  <dc:title>Eron Capital &amp; Trade Resources Memo</dc:title>
</cp:coreProperties>
</file>