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Theresa Branney, Sandra Brawner, Maria Garza, Chris</w:t>
            </w:r>
          </w:p>
          <w:p>
            <w:pPr>
              <w:pStyle w:val="To"/>
              <w:widowControl/>
              <w:ind w:end="-643"/>
              <w:rPr/>
            </w:pPr>
            <w:r>
              <w:rPr/>
              <w:t>Germany, 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 Scott Goodell, Kate</w:t>
            </w:r>
          </w:p>
          <w:p>
            <w:pPr>
              <w:pStyle w:val="To"/>
              <w:widowControl/>
              <w:ind w:end="-643"/>
              <w:rPr/>
            </w:pPr>
            <w:r>
              <w:rPr/>
              <w:t>Fraser, Keith Holst</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June 9,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BodyTextIndent2"/>
        <w:widowControl/>
        <w:ind w:start="0" w:end="0"/>
        <w:rPr>
          <w:sz w:val="12"/>
          <w:szCs w:val="12"/>
        </w:rPr>
      </w:pPr>
      <w:r>
        <w:rPr>
          <w:sz w:val="12"/>
          <w:szCs w:val="12"/>
        </w:rPr>
      </w:r>
    </w:p>
    <w:p>
      <w:pPr>
        <w:pStyle w:val="Normal"/>
        <w:rPr>
          <w:b/>
          <w:bCs/>
          <w:sz w:val="20"/>
          <w:szCs w:val="20"/>
        </w:rPr>
      </w:pPr>
      <w:r>
        <w:rPr>
          <w:b/>
          <w:bCs/>
          <w:sz w:val="20"/>
          <w:szCs w:val="20"/>
        </w:rPr>
        <w:t>ANR Pipeline Company</w:t>
      </w:r>
    </w:p>
    <w:p>
      <w:pPr>
        <w:pStyle w:val="NormalIndent"/>
        <w:rPr>
          <w:sz w:val="20"/>
          <w:szCs w:val="20"/>
        </w:rPr>
      </w:pPr>
      <w:r>
        <w:rPr>
          <w:sz w:val="20"/>
          <w:szCs w:val="20"/>
        </w:rPr>
        <w:t>5/31/00 - ANR filed for approval to add another point--Napoleon Interconnect, Henry County, Ohio--to its IPLS (Park &amp; Loan) service to be utilized to serve a gas fired electric generating facility.</w:t>
      </w:r>
    </w:p>
    <w:p>
      <w:pPr>
        <w:pStyle w:val="NormalIndent"/>
        <w:rPr>
          <w:sz w:val="20"/>
          <w:szCs w:val="20"/>
        </w:rPr>
      </w:pPr>
      <w:r>
        <w:rPr>
          <w:sz w:val="20"/>
          <w:szCs w:val="20"/>
        </w:rPr>
      </w:r>
    </w:p>
    <w:p>
      <w:pPr>
        <w:pStyle w:val="NormalIndent"/>
        <w:rPr>
          <w:sz w:val="20"/>
          <w:szCs w:val="20"/>
        </w:rPr>
      </w:pPr>
      <w:r>
        <w:rPr>
          <w:sz w:val="20"/>
          <w:szCs w:val="20"/>
        </w:rPr>
        <w:t xml:space="preserve">5/31/00 - ANR filed its quarterly Dakota Costs filing, requesting a slight increase effective 6/1/00.  </w:t>
      </w:r>
    </w:p>
    <w:p>
      <w:pPr>
        <w:pStyle w:val="NormalIndent"/>
        <w:rPr>
          <w:sz w:val="20"/>
          <w:szCs w:val="20"/>
        </w:rPr>
      </w:pPr>
      <w:r>
        <w:rPr>
          <w:sz w:val="20"/>
          <w:szCs w:val="20"/>
        </w:rPr>
        <w:t>Current:  $.145 res surcharge, $.026 SE Area Short Haul surcharge and $.032 SW Area Short Haul surcharge; New:       $.149 res surcharge, $.027 SE Area Short Haul surcharge and $.033 SW Area Short Haul surcharge.  IT rates will also reflect these increases.</w:t>
      </w:r>
    </w:p>
    <w:p>
      <w:pPr>
        <w:pStyle w:val="NormalIndent"/>
        <w:rPr>
          <w:sz w:val="20"/>
          <w:szCs w:val="20"/>
        </w:rPr>
      </w:pPr>
      <w:r>
        <w:rPr>
          <w:sz w:val="20"/>
          <w:szCs w:val="20"/>
        </w:rPr>
      </w:r>
    </w:p>
    <w:p>
      <w:pPr>
        <w:pStyle w:val="NormalIndent"/>
        <w:rPr>
          <w:sz w:val="20"/>
          <w:szCs w:val="20"/>
        </w:rPr>
      </w:pPr>
      <w:r>
        <w:rPr>
          <w:sz w:val="20"/>
          <w:szCs w:val="20"/>
        </w:rPr>
        <w:t>5/31/00 - FERC rejected ANR’s proposal to recover cash-out under-recovery through a pooling surcharge.  The Alternative Case, which increases the cash-out surcharge from $.1211 per Dth to $0.3344, is suspended until 11/1/00 (or earlier date following the technical conference), subject to refund.</w:t>
      </w:r>
    </w:p>
    <w:p>
      <w:pPr>
        <w:pStyle w:val="Normal"/>
        <w:rPr>
          <w:b/>
          <w:bCs/>
          <w:sz w:val="20"/>
          <w:szCs w:val="20"/>
        </w:rPr>
      </w:pPr>
      <w:r>
        <w:rPr>
          <w:b/>
          <w:bCs/>
          <w:sz w:val="20"/>
          <w:szCs w:val="20"/>
        </w:rPr>
      </w:r>
    </w:p>
    <w:p>
      <w:pPr>
        <w:pStyle w:val="Normal"/>
        <w:rPr>
          <w:b/>
          <w:bCs/>
          <w:sz w:val="20"/>
          <w:szCs w:val="20"/>
        </w:rPr>
      </w:pPr>
      <w:r>
        <w:rPr>
          <w:b/>
          <w:bCs/>
          <w:sz w:val="20"/>
          <w:szCs w:val="20"/>
        </w:rPr>
        <w:t>Colorado Interstate Gas Company</w:t>
      </w:r>
    </w:p>
    <w:p>
      <w:pPr>
        <w:pStyle w:val="NormalIndent"/>
        <w:rPr>
          <w:sz w:val="20"/>
          <w:szCs w:val="20"/>
        </w:rPr>
      </w:pPr>
      <w:r>
        <w:rPr>
          <w:sz w:val="20"/>
          <w:szCs w:val="20"/>
        </w:rPr>
        <w:t>5/31/00 - FERC approved CIG’s proposal to allow imbalance trading during the month following flow before cash- out is required; however, CIG must retain the payback periods option.  Effective date is 6/1/00.</w:t>
      </w:r>
    </w:p>
    <w:p>
      <w:pPr>
        <w:pStyle w:val="NormalIndent"/>
        <w:rPr>
          <w:sz w:val="20"/>
          <w:szCs w:val="20"/>
        </w:rPr>
      </w:pPr>
      <w:r>
        <w:rPr>
          <w:sz w:val="20"/>
          <w:szCs w:val="20"/>
        </w:rPr>
      </w:r>
    </w:p>
    <w:p>
      <w:pPr>
        <w:pStyle w:val="NormalIndent"/>
        <w:rPr>
          <w:sz w:val="20"/>
          <w:szCs w:val="20"/>
        </w:rPr>
      </w:pPr>
      <w:r>
        <w:rPr>
          <w:sz w:val="20"/>
          <w:szCs w:val="20"/>
        </w:rPr>
        <w:t>6/5/00 - CIG reduced fuel from 1.01% to .70% effective 7/1/00.</w:t>
      </w:r>
    </w:p>
    <w:p>
      <w:pPr>
        <w:pStyle w:val="Normal"/>
        <w:rPr>
          <w:b/>
          <w:bCs/>
          <w:sz w:val="20"/>
          <w:szCs w:val="20"/>
        </w:rPr>
      </w:pPr>
      <w:r>
        <w:rPr>
          <w:b/>
          <w:bCs/>
          <w:sz w:val="20"/>
          <w:szCs w:val="20"/>
        </w:rPr>
      </w:r>
    </w:p>
    <w:p>
      <w:pPr>
        <w:pStyle w:val="Normal"/>
        <w:rPr>
          <w:b/>
          <w:bCs/>
          <w:sz w:val="20"/>
          <w:szCs w:val="20"/>
        </w:rPr>
      </w:pPr>
      <w:r>
        <w:rPr>
          <w:b/>
          <w:bCs/>
          <w:sz w:val="20"/>
          <w:szCs w:val="20"/>
        </w:rPr>
        <w:t>Columbia Gas Transmission Corporation</w:t>
      </w:r>
    </w:p>
    <w:p>
      <w:pPr>
        <w:pStyle w:val="NormalIndent"/>
        <w:rPr>
          <w:b/>
          <w:bCs/>
          <w:sz w:val="20"/>
          <w:szCs w:val="20"/>
        </w:rPr>
      </w:pPr>
      <w:r>
        <w:rPr>
          <w:sz w:val="20"/>
          <w:szCs w:val="20"/>
        </w:rPr>
        <w:t>5/26/00 - CGas made its compliance filing on ROFR rights, grandfathering discounted rate deals completed prior to the Order 637 ruling (March 27, 2000).</w:t>
      </w:r>
    </w:p>
    <w:p>
      <w:pPr>
        <w:pStyle w:val="Normal"/>
        <w:rPr>
          <w:b/>
          <w:bCs/>
          <w:sz w:val="20"/>
          <w:szCs w:val="20"/>
        </w:rPr>
      </w:pPr>
      <w:r>
        <w:rPr>
          <w:b/>
          <w:bCs/>
          <w:sz w:val="20"/>
          <w:szCs w:val="20"/>
        </w:rPr>
      </w:r>
    </w:p>
    <w:p>
      <w:pPr>
        <w:pStyle w:val="Normal"/>
        <w:rPr>
          <w:b/>
          <w:bCs/>
          <w:sz w:val="20"/>
          <w:szCs w:val="20"/>
        </w:rPr>
      </w:pPr>
      <w:r>
        <w:rPr>
          <w:b/>
          <w:bCs/>
          <w:sz w:val="20"/>
          <w:szCs w:val="20"/>
        </w:rPr>
        <w:t>Columbia Gulf Transmission Corporation</w:t>
      </w:r>
    </w:p>
    <w:p>
      <w:pPr>
        <w:pStyle w:val="NormalIndent"/>
        <w:rPr>
          <w:sz w:val="20"/>
          <w:szCs w:val="20"/>
        </w:rPr>
      </w:pPr>
      <w:r>
        <w:rPr>
          <w:sz w:val="20"/>
          <w:szCs w:val="20"/>
        </w:rPr>
        <w:t>5/10/00 - CGulf filed notice of a negotiated rate deal with Williams Energy Marketing effective 6/1/00 through 5/31/07.  It provides for seasonal demand rates of $.05 summer; $.07 winter plus ACA (no fuel on primary to primary path only) from Koch/Barron, Reliant/Perryville, LIG/St. Landry, or TCO/Leach to CLECO-Evangeline.  If Williams uses alternate delivery points, max rates plus fuel will apply.  The MDQ is 145,000/d, with a minimum annual take of 18 Bcf.  For all volumes over 18 Bcf, rate is $.05 demand plus same terms on fuel.</w:t>
      </w:r>
    </w:p>
    <w:p>
      <w:pPr>
        <w:pStyle w:val="NormalIndent"/>
        <w:rPr>
          <w:sz w:val="20"/>
          <w:szCs w:val="20"/>
        </w:rPr>
      </w:pPr>
      <w:r>
        <w:rPr>
          <w:sz w:val="20"/>
          <w:szCs w:val="20"/>
        </w:rPr>
      </w:r>
    </w:p>
    <w:p>
      <w:pPr>
        <w:pStyle w:val="NormalIndent"/>
        <w:rPr>
          <w:sz w:val="20"/>
          <w:szCs w:val="20"/>
        </w:rPr>
      </w:pPr>
      <w:r>
        <w:rPr>
          <w:sz w:val="20"/>
          <w:szCs w:val="20"/>
        </w:rPr>
        <w:t>5/26/00 - CGulf made its compliance filing on ROFR rights, grandfathering discounted rate deals completed prior to the Order 637 ruling (March 27, 2000).</w:t>
      </w:r>
      <w:r>
        <w:br w:type="page"/>
      </w:r>
    </w:p>
    <w:p>
      <w:pPr>
        <w:pStyle w:val="NormalIndent"/>
        <w:rPr>
          <w:b/>
          <w:bCs/>
          <w:sz w:val="20"/>
          <w:szCs w:val="20"/>
        </w:rPr>
      </w:pPr>
      <w:r>
        <w:rPr>
          <w:b/>
          <w:bCs/>
          <w:sz w:val="20"/>
          <w:szCs w:val="20"/>
        </w:rPr>
      </w:r>
    </w:p>
    <w:p>
      <w:pPr>
        <w:pStyle w:val="Normal"/>
        <w:rPr>
          <w:b/>
          <w:bCs/>
          <w:sz w:val="20"/>
          <w:szCs w:val="20"/>
        </w:rPr>
      </w:pPr>
      <w:r>
        <w:rPr>
          <w:b/>
          <w:bCs/>
          <w:sz w:val="20"/>
          <w:szCs w:val="20"/>
        </w:rPr>
        <w:t>Dominion Transmission, Inc. (CNG)</w:t>
      </w:r>
    </w:p>
    <w:p>
      <w:pPr>
        <w:pStyle w:val="NormalIndent"/>
        <w:rPr>
          <w:sz w:val="20"/>
          <w:szCs w:val="20"/>
        </w:rPr>
      </w:pPr>
      <w:r>
        <w:rPr>
          <w:sz w:val="20"/>
          <w:szCs w:val="20"/>
        </w:rPr>
        <w:t>5/26/00 - Dominion filed for implementation of its two new rate schedules:  DPO (Delivery Point Operator) to allow operators of citygate interconnections to offer no notice service to retail markets and their service providers; and CSC (City Gate Swing Customer) is a companion service to DPO and is designed to allow customers behind the citygates to receive no notice service from Dominion under certain terms.  Dominion wants these services to be approved for a two year experimental period.</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5/31/00 - EPNG filed notice of new negotiated rate deals effective 6/1/00.  One is with SPS effective 6/1/00-7/31/00 for 9775/d from Permian to various points in Texas.  The rate is $.052-$.0548 demand charge, with a usage of $.0052-$.008.  The other is with TMV Corp for 40,225/d effective June 2000 only.  The rate is $.0448 demand plus $.0052 usage from Permian to various points in Texas.</w:t>
      </w:r>
    </w:p>
    <w:p>
      <w:pPr>
        <w:pStyle w:val="NormalIndent"/>
        <w:rPr>
          <w:sz w:val="20"/>
          <w:szCs w:val="20"/>
        </w:rPr>
      </w:pPr>
      <w:r>
        <w:rPr>
          <w:sz w:val="20"/>
          <w:szCs w:val="20"/>
        </w:rPr>
      </w:r>
    </w:p>
    <w:p>
      <w:pPr>
        <w:pStyle w:val="Normal"/>
        <w:rPr>
          <w:b/>
          <w:bCs/>
          <w:sz w:val="20"/>
          <w:szCs w:val="20"/>
        </w:rPr>
      </w:pPr>
      <w:r>
        <w:rPr>
          <w:b/>
          <w:bCs/>
          <w:sz w:val="20"/>
          <w:szCs w:val="20"/>
        </w:rPr>
        <w:t>Florida Gas Transmission Company</w:t>
      </w:r>
    </w:p>
    <w:p>
      <w:pPr>
        <w:pStyle w:val="NormalIndent"/>
        <w:rPr>
          <w:sz w:val="20"/>
          <w:szCs w:val="20"/>
        </w:rPr>
      </w:pPr>
      <w:r>
        <w:rPr>
          <w:sz w:val="20"/>
          <w:szCs w:val="20"/>
        </w:rPr>
        <w:t>5/31/00 - FERC accepted FGT’s filing that implements the waiver of the rate ceiling for short term capacity release.  FERC also required FGT to change the language regarding capacity release transactions of 31 days or less to omit the reference to the maximum rate since there is no longer a maximum rate.</w:t>
      </w:r>
    </w:p>
    <w:p>
      <w:pPr>
        <w:pStyle w:val="Normal"/>
        <w:rPr>
          <w:b/>
          <w:bCs/>
          <w:sz w:val="20"/>
          <w:szCs w:val="20"/>
        </w:rPr>
      </w:pPr>
      <w:r>
        <w:rPr>
          <w:b/>
          <w:bCs/>
          <w:sz w:val="20"/>
          <w:szCs w:val="20"/>
        </w:rPr>
      </w:r>
    </w:p>
    <w:p>
      <w:pPr>
        <w:pStyle w:val="Normal"/>
        <w:rPr>
          <w:b/>
          <w:bCs/>
          <w:sz w:val="20"/>
          <w:szCs w:val="20"/>
        </w:rPr>
      </w:pPr>
      <w:r>
        <w:rPr>
          <w:b/>
          <w:bCs/>
          <w:sz w:val="20"/>
          <w:szCs w:val="20"/>
        </w:rPr>
        <w:t>Great Lakes Gas Transmission Limited Partnership</w:t>
      </w:r>
    </w:p>
    <w:p>
      <w:pPr>
        <w:pStyle w:val="NormalIndent"/>
        <w:rPr>
          <w:sz w:val="20"/>
          <w:szCs w:val="20"/>
        </w:rPr>
      </w:pPr>
      <w:r>
        <w:rPr>
          <w:sz w:val="20"/>
          <w:szCs w:val="20"/>
        </w:rPr>
        <w:t>6/1/00 - FERC issued final certificate order approving the looping of mainline around Compressor Station 10-A to improve operations and reliability.</w:t>
      </w:r>
    </w:p>
    <w:p>
      <w:pPr>
        <w:pStyle w:val="Normal"/>
        <w:rPr>
          <w:b/>
          <w:bCs/>
          <w:sz w:val="20"/>
          <w:szCs w:val="20"/>
        </w:rPr>
      </w:pPr>
      <w:r>
        <w:rPr>
          <w:b/>
          <w:bCs/>
          <w:sz w:val="20"/>
          <w:szCs w:val="20"/>
        </w:rPr>
      </w:r>
    </w:p>
    <w:p>
      <w:pPr>
        <w:pStyle w:val="Normal"/>
        <w:rPr>
          <w:b/>
          <w:bCs/>
          <w:sz w:val="20"/>
          <w:szCs w:val="20"/>
        </w:rPr>
      </w:pPr>
      <w:r>
        <w:rPr>
          <w:b/>
          <w:bCs/>
          <w:sz w:val="20"/>
          <w:szCs w:val="20"/>
        </w:rPr>
        <w:t>Kern River Gas Transmission Company</w:t>
      </w:r>
    </w:p>
    <w:p>
      <w:pPr>
        <w:pStyle w:val="NormalIndent"/>
        <w:rPr>
          <w:sz w:val="20"/>
          <w:szCs w:val="20"/>
        </w:rPr>
      </w:pPr>
      <w:r>
        <w:rPr>
          <w:sz w:val="20"/>
          <w:szCs w:val="20"/>
        </w:rPr>
        <w:t>5/24/00 - Kern made filing proposing to lower its rates by refinancing its debt.  Parties who extend terms of existing agreements will get lower rates.  If approved, effective date would be 10/01.</w:t>
      </w:r>
    </w:p>
    <w:p>
      <w:pPr>
        <w:pStyle w:val="Normal"/>
        <w:rPr>
          <w:b/>
          <w:bCs/>
          <w:sz w:val="20"/>
          <w:szCs w:val="20"/>
        </w:rPr>
      </w:pPr>
      <w:r>
        <w:rPr>
          <w:b/>
          <w:bCs/>
          <w:sz w:val="20"/>
          <w:szCs w:val="20"/>
        </w:rPr>
      </w:r>
    </w:p>
    <w:p>
      <w:pPr>
        <w:pStyle w:val="Normal"/>
        <w:rPr>
          <w:b/>
          <w:bCs/>
          <w:sz w:val="20"/>
          <w:szCs w:val="20"/>
        </w:rPr>
      </w:pPr>
      <w:r>
        <w:rPr>
          <w:b/>
          <w:bCs/>
          <w:sz w:val="20"/>
          <w:szCs w:val="20"/>
        </w:rPr>
        <w:t>Midwestern Gas Transmission</w:t>
      </w:r>
    </w:p>
    <w:p>
      <w:pPr>
        <w:pStyle w:val="NormalIndent"/>
        <w:rPr>
          <w:sz w:val="20"/>
          <w:szCs w:val="20"/>
        </w:rPr>
      </w:pPr>
      <w:r>
        <w:rPr>
          <w:sz w:val="20"/>
          <w:szCs w:val="20"/>
        </w:rPr>
        <w:t>5/18/00 - Midwestern filed notice of a negotiated rate deal with Dynegy.  It provides for a monthly reservation charge of $.025/dth and a tiered indexed commodity rate based on spreads.  If the index spread is less than or equal to $.02, then the daily commodity rate shall be $.01.  If the index spread is greater than $.02 but less than $.10, then the rate shall be 50% of the spread.  If the index spread is greater than $.10, then the rate shall be $.05 plus 75% of the spread exceeding $.10.  The deal is effective 5/1/00 through 10/31/00.</w:t>
      </w:r>
    </w:p>
    <w:p>
      <w:pPr>
        <w:pStyle w:val="Normal"/>
        <w:rPr>
          <w:b/>
          <w:bCs/>
          <w:sz w:val="20"/>
          <w:szCs w:val="20"/>
        </w:rPr>
      </w:pPr>
      <w:r>
        <w:rPr>
          <w:b/>
          <w:bCs/>
          <w:sz w:val="20"/>
          <w:szCs w:val="20"/>
        </w:rPr>
      </w:r>
    </w:p>
    <w:p>
      <w:pPr>
        <w:pStyle w:val="Normal"/>
        <w:rPr>
          <w:b/>
          <w:bCs/>
          <w:sz w:val="20"/>
          <w:szCs w:val="20"/>
        </w:rPr>
      </w:pPr>
      <w:r>
        <w:rPr>
          <w:b/>
          <w:bCs/>
          <w:sz w:val="20"/>
          <w:szCs w:val="20"/>
        </w:rPr>
        <w:t>Mississippi River Transmission Corporation</w:t>
      </w:r>
    </w:p>
    <w:p>
      <w:pPr>
        <w:pStyle w:val="NormalIndent"/>
        <w:rPr>
          <w:sz w:val="20"/>
          <w:szCs w:val="20"/>
        </w:rPr>
      </w:pPr>
      <w:r>
        <w:rPr>
          <w:sz w:val="20"/>
          <w:szCs w:val="20"/>
        </w:rPr>
        <w:t>5/31/00 - FERC ordered MRT to re-file its fuel tracker adjustment to remove costs it tried to recover before 7/98</w:t>
      </w:r>
    </w:p>
    <w:p>
      <w:pPr>
        <w:pStyle w:val="NormalIndent"/>
        <w:rPr>
          <w:sz w:val="20"/>
          <w:szCs w:val="20"/>
        </w:rPr>
      </w:pPr>
      <w:r>
        <w:rPr>
          <w:sz w:val="20"/>
          <w:szCs w:val="20"/>
        </w:rPr>
      </w:r>
    </w:p>
    <w:p>
      <w:pPr>
        <w:pStyle w:val="NormalIndent"/>
        <w:rPr>
          <w:sz w:val="20"/>
          <w:szCs w:val="20"/>
        </w:rPr>
      </w:pPr>
      <w:r>
        <w:rPr>
          <w:sz w:val="20"/>
          <w:szCs w:val="20"/>
        </w:rPr>
        <w:t>7/1/00 - MRT filed for approval of negotiated rates.</w:t>
      </w:r>
    </w:p>
    <w:p>
      <w:pPr>
        <w:pStyle w:val="Normal"/>
        <w:rPr>
          <w:b/>
          <w:bCs/>
          <w:sz w:val="20"/>
          <w:szCs w:val="20"/>
        </w:rPr>
      </w:pPr>
      <w:r>
        <w:rPr>
          <w:b/>
          <w:bCs/>
          <w:sz w:val="20"/>
          <w:szCs w:val="20"/>
        </w:rPr>
      </w:r>
    </w:p>
    <w:p>
      <w:pPr>
        <w:pStyle w:val="Normal"/>
        <w:rPr>
          <w:b/>
          <w:bCs/>
          <w:sz w:val="20"/>
          <w:szCs w:val="20"/>
        </w:rPr>
      </w:pPr>
      <w:r>
        <w:rPr>
          <w:b/>
          <w:bCs/>
          <w:sz w:val="20"/>
          <w:szCs w:val="20"/>
        </w:rPr>
        <w:t>Natural Gas Pipeline Company</w:t>
      </w:r>
    </w:p>
    <w:p>
      <w:pPr>
        <w:pStyle w:val="NormalIndent"/>
        <w:rPr>
          <w:sz w:val="20"/>
          <w:szCs w:val="20"/>
        </w:rPr>
      </w:pPr>
      <w:r>
        <w:rPr>
          <w:sz w:val="20"/>
          <w:szCs w:val="20"/>
        </w:rPr>
        <w:t>5/2/00 - NGPL filed notice of a negotiated rate with CILCO.  The deal is for 6000/d effective 5/1/00 through 4/30/03 from Permian zone to CILCO’s gate.  It is considered a negotiated rate because all surcharges are included.</w:t>
      </w:r>
    </w:p>
    <w:p>
      <w:pPr>
        <w:pStyle w:val="NormalIndent"/>
        <w:rPr>
          <w:sz w:val="20"/>
          <w:szCs w:val="20"/>
        </w:rPr>
      </w:pPr>
      <w:r>
        <w:rPr>
          <w:sz w:val="20"/>
          <w:szCs w:val="20"/>
        </w:rPr>
      </w:r>
    </w:p>
    <w:p>
      <w:pPr>
        <w:pStyle w:val="NormalIndent"/>
        <w:rPr>
          <w:b/>
          <w:bCs/>
          <w:sz w:val="20"/>
          <w:szCs w:val="20"/>
        </w:rPr>
      </w:pPr>
      <w:r>
        <w:rPr>
          <w:sz w:val="20"/>
          <w:szCs w:val="20"/>
        </w:rPr>
        <w:t>5/19/00 - Negotiated rate deal with Peoples GL&amp;C effective 4/25/00-3/31/02 was approved.  The deal is an IT deal for up to 30,000/d for service from Texok, S TX, LA, Gulf Coast Mainline or GC mainline in Iowa Illinois Receipt Zone to Nicor, NIPSCO, PGLC, MidAmerican, North Shore and all delivery points available in the receipt point zones except MRT and Illini Carrier.  The rate is based on market value and may be hedged to lock in rate.</w:t>
      </w:r>
    </w:p>
    <w:p>
      <w:pPr>
        <w:pStyle w:val="NormalIndent"/>
        <w:rPr>
          <w:b/>
          <w:bCs/>
          <w:sz w:val="20"/>
          <w:szCs w:val="20"/>
        </w:rPr>
      </w:pPr>
      <w:r>
        <w:rPr>
          <w:b/>
          <w:bCs/>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5/31/00 - FERC approved NNG’s new fuel rates effective 6/1/00.</w:t>
      </w:r>
    </w:p>
    <w:p>
      <w:pPr>
        <w:pStyle w:val="NormalIndent"/>
        <w:rPr>
          <w:sz w:val="20"/>
          <w:szCs w:val="20"/>
        </w:rPr>
      </w:pPr>
      <w:r>
        <w:rPr>
          <w:sz w:val="20"/>
          <w:szCs w:val="20"/>
        </w:rPr>
      </w:r>
    </w:p>
    <w:p>
      <w:pPr>
        <w:pStyle w:val="NormalIndent"/>
        <w:rPr>
          <w:sz w:val="20"/>
          <w:szCs w:val="20"/>
        </w:rPr>
      </w:pPr>
      <w:r>
        <w:rPr>
          <w:sz w:val="20"/>
          <w:szCs w:val="20"/>
        </w:rPr>
        <w:t>5/31/00 - NNG’s VFT (volumetric firm) service is suspended until 11/1/00, with a technical conference to be held to answer questions.  Also NNG must file additional information within 20 days.</w:t>
      </w:r>
    </w:p>
    <w:p>
      <w:pPr>
        <w:pStyle w:val="NormalIndent"/>
        <w:rPr>
          <w:sz w:val="20"/>
          <w:szCs w:val="20"/>
        </w:rPr>
      </w:pPr>
      <w:r>
        <w:rPr>
          <w:sz w:val="20"/>
          <w:szCs w:val="20"/>
        </w:rPr>
      </w:r>
    </w:p>
    <w:p>
      <w:pPr>
        <w:pStyle w:val="NormalIndent"/>
        <w:rPr>
          <w:sz w:val="20"/>
          <w:szCs w:val="20"/>
        </w:rPr>
      </w:pPr>
      <w:r>
        <w:rPr>
          <w:sz w:val="20"/>
          <w:szCs w:val="20"/>
        </w:rPr>
        <w:t>6/2/00 - Per settlement, the Carlton Premium shall be recalculated annually to reflect market conditions.</w:t>
      </w:r>
      <w:r>
        <w:br w:type="page"/>
      </w:r>
    </w:p>
    <w:p>
      <w:pPr>
        <w:pStyle w:val="NormalIndent"/>
        <w:rPr/>
      </w:pPr>
      <w:r>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6/5/00 - PG&amp;E filed for an increase (to $.0015%/Dth per pipeline mile) in its fuel charge effective 7/1/00</w:t>
      </w:r>
    </w:p>
    <w:p>
      <w:pPr>
        <w:pStyle w:val="NormalIndent"/>
        <w:rPr>
          <w:sz w:val="20"/>
          <w:szCs w:val="20"/>
        </w:rPr>
      </w:pPr>
      <w:r>
        <w:rPr>
          <w:sz w:val="20"/>
          <w:szCs w:val="20"/>
        </w:rPr>
      </w:r>
    </w:p>
    <w:p>
      <w:pPr>
        <w:pStyle w:val="NormalIndent"/>
        <w:rPr>
          <w:sz w:val="20"/>
          <w:szCs w:val="20"/>
        </w:rPr>
      </w:pPr>
      <w:r>
        <w:rPr>
          <w:sz w:val="20"/>
          <w:szCs w:val="20"/>
        </w:rPr>
        <w:t>6/1/00 - PG&amp;E filed notice of new negotiated rate deals, including ENA’s deal for June 2000.  The other deals were with CEG Energy Options, Inc. for June through October 2000.</w:t>
      </w:r>
    </w:p>
    <w:p>
      <w:pPr>
        <w:pStyle w:val="NormalIndent"/>
        <w:rPr/>
      </w:pPr>
      <w:r>
        <w:rPr/>
      </w:r>
    </w:p>
    <w:p>
      <w:pPr>
        <w:pStyle w:val="Normal"/>
        <w:rPr>
          <w:b/>
          <w:bCs/>
          <w:sz w:val="20"/>
          <w:szCs w:val="20"/>
        </w:rPr>
      </w:pPr>
      <w:r>
        <w:rPr>
          <w:b/>
          <w:bCs/>
          <w:sz w:val="20"/>
          <w:szCs w:val="20"/>
        </w:rPr>
        <w:t>Reliant Gas Transmission Company</w:t>
      </w:r>
    </w:p>
    <w:p>
      <w:pPr>
        <w:pStyle w:val="NormalIndent"/>
        <w:rPr>
          <w:sz w:val="20"/>
          <w:szCs w:val="20"/>
        </w:rPr>
      </w:pPr>
      <w:r>
        <w:rPr>
          <w:sz w:val="20"/>
          <w:szCs w:val="20"/>
        </w:rPr>
        <w:t>5/31/00 - Reliant filed notice of a new negotiated rate agreement and termination of an old one.  The new deal is with Arkansas Electric Cooperative Corporation for 40,000/d effective 6/1/00-9/30/00 and 10,000/d effective 10/01/00-5/31/01.  The rate is $2.32 res charge with various commodity rates depending on path.  There are numerous receipt points, in all areas and the delivery points are AEC @ Augusta, Camden and Ozark/Fitzhugh.  The terminated deal is with Dynegy for service from Neutral and South Pools to TET @ Bald Knob under a formula rate.</w:t>
      </w:r>
    </w:p>
    <w:p>
      <w:pPr>
        <w:pStyle w:val="NormalIndent"/>
        <w:rPr>
          <w:sz w:val="20"/>
          <w:szCs w:val="20"/>
        </w:rPr>
      </w:pPr>
      <w:r>
        <w:rPr>
          <w:sz w:val="20"/>
          <w:szCs w:val="20"/>
        </w:rPr>
      </w:r>
    </w:p>
    <w:p>
      <w:pPr>
        <w:pStyle w:val="Normal"/>
        <w:rPr>
          <w:b/>
          <w:bCs/>
          <w:sz w:val="20"/>
          <w:szCs w:val="20"/>
        </w:rPr>
      </w:pPr>
      <w:r>
        <w:rPr>
          <w:b/>
          <w:bCs/>
          <w:sz w:val="20"/>
          <w:szCs w:val="20"/>
        </w:rPr>
        <w:t>Tennessee Gas Pipeline Company</w:t>
      </w:r>
    </w:p>
    <w:p>
      <w:pPr>
        <w:pStyle w:val="NormalIndent"/>
        <w:rPr>
          <w:sz w:val="20"/>
          <w:szCs w:val="20"/>
        </w:rPr>
      </w:pPr>
      <w:r>
        <w:rPr>
          <w:sz w:val="20"/>
          <w:szCs w:val="20"/>
        </w:rPr>
        <w:t>5/16/00 - Tenn filed new tariff sheets reflecting the elimination of the 20 year term matching cap from its NPV capacity allocation method, per FERC’s direction.</w:t>
      </w:r>
    </w:p>
    <w:p>
      <w:pPr>
        <w:pStyle w:val="NormalIndent"/>
        <w:rPr>
          <w:b/>
          <w:bCs/>
          <w:sz w:val="20"/>
          <w:szCs w:val="20"/>
        </w:rPr>
      </w:pPr>
      <w:r>
        <w:rPr>
          <w:b/>
          <w:bCs/>
          <w:sz w:val="20"/>
          <w:szCs w:val="20"/>
        </w:rPr>
      </w:r>
    </w:p>
    <w:p>
      <w:pPr>
        <w:pStyle w:val="NormalIndent"/>
        <w:rPr>
          <w:sz w:val="20"/>
          <w:szCs w:val="20"/>
        </w:rPr>
      </w:pPr>
      <w:r>
        <w:rPr>
          <w:sz w:val="20"/>
          <w:szCs w:val="20"/>
        </w:rPr>
        <w:t>5/24/00 - Tenn filed new tariff designed to update its NPV provisions (proposed effective date is 6/23/00).  Specifically, they want to (1) add the option to hide a reserve price, as opposed to posting it as part of an open season; (2) to allow prearranged deals where customer has right to match any higher bid; (3) clarify how NPV will be calculated for bids that include an option to terminate early or reduce capacity during the primary term; (4) allow for pro rata distribution of capacity prior to the use of first in time as a tiebreaker or for when aggregated bids have the highest NPV; (5) clarify that in package bids where a change in primary points negatively affects Tenn’s revenues, that value will be treated as a negative adjustment to the value of the package bid.</w:t>
      </w:r>
    </w:p>
    <w:p>
      <w:pPr>
        <w:pStyle w:val="NormalIndent"/>
        <w:rPr>
          <w:sz w:val="20"/>
          <w:szCs w:val="20"/>
        </w:rPr>
      </w:pPr>
      <w:r>
        <w:rPr>
          <w:sz w:val="20"/>
          <w:szCs w:val="20"/>
        </w:rPr>
      </w:r>
    </w:p>
    <w:p>
      <w:pPr>
        <w:pStyle w:val="NormalIndent"/>
        <w:rPr>
          <w:sz w:val="20"/>
          <w:szCs w:val="20"/>
        </w:rPr>
      </w:pPr>
      <w:r>
        <w:rPr>
          <w:sz w:val="20"/>
          <w:szCs w:val="20"/>
        </w:rPr>
        <w:t>5/31/00 - Tenn filed its proposal to reduce the PCB surcharge to zero effective 7/1/00.  The PCB Adjustment will remain in place in case Tennessee’s estimates are incorrect.</w:t>
      </w:r>
    </w:p>
    <w:p>
      <w:pPr>
        <w:pStyle w:val="NormalIndent"/>
        <w:rPr>
          <w:sz w:val="20"/>
          <w:szCs w:val="20"/>
        </w:rPr>
      </w:pPr>
      <w:r>
        <w:rPr>
          <w:sz w:val="20"/>
          <w:szCs w:val="20"/>
        </w:rPr>
      </w:r>
    </w:p>
    <w:p>
      <w:pPr>
        <w:pStyle w:val="Normal"/>
        <w:rPr>
          <w:b/>
          <w:bCs/>
          <w:sz w:val="20"/>
          <w:szCs w:val="20"/>
        </w:rPr>
      </w:pPr>
      <w:r>
        <w:rPr>
          <w:b/>
          <w:bCs/>
          <w:sz w:val="20"/>
          <w:szCs w:val="20"/>
        </w:rPr>
        <w:t>Texas Gas Transmission Corporation</w:t>
      </w:r>
    </w:p>
    <w:p>
      <w:pPr>
        <w:pStyle w:val="NormalIndent"/>
        <w:rPr>
          <w:sz w:val="20"/>
          <w:szCs w:val="20"/>
        </w:rPr>
      </w:pPr>
      <w:r>
        <w:rPr>
          <w:sz w:val="20"/>
          <w:szCs w:val="20"/>
        </w:rPr>
        <w:t>5/31/00 - FERC issued a new rate case filing order.  The proposals for season and term differentiated rates (STF service) and changes in FSS and ISS service will be addressed after TGT files additional info.  The cost of service, cost of allocation and rate design issues are set for hearing.  Proposed rates are suspended until 11/1/00, and will be effective subject to refund.</w:t>
      </w:r>
    </w:p>
    <w:p>
      <w:pPr>
        <w:pStyle w:val="NormalIndent"/>
        <w:rPr>
          <w:sz w:val="20"/>
          <w:szCs w:val="20"/>
        </w:rPr>
      </w:pPr>
      <w:r>
        <w:rPr>
          <w:sz w:val="20"/>
          <w:szCs w:val="20"/>
        </w:rPr>
      </w:r>
    </w:p>
    <w:p>
      <w:pPr>
        <w:pStyle w:val="NormalIndent"/>
        <w:rPr>
          <w:sz w:val="20"/>
          <w:szCs w:val="20"/>
        </w:rPr>
      </w:pPr>
      <w:r>
        <w:rPr>
          <w:sz w:val="20"/>
          <w:szCs w:val="20"/>
        </w:rPr>
        <w:t>5/31/00 - TGT’s SNS (summer no-notice) service is approved, effective 6/14/00, but with a two-part SFV rate design.  TGT can file for negotiated rate authority.</w:t>
      </w:r>
    </w:p>
    <w:p>
      <w:pPr>
        <w:pStyle w:val="NormalIndent"/>
        <w:rPr>
          <w:sz w:val="20"/>
          <w:szCs w:val="20"/>
        </w:rPr>
      </w:pPr>
      <w:r>
        <w:rPr>
          <w:sz w:val="20"/>
          <w:szCs w:val="20"/>
        </w:rPr>
      </w:r>
    </w:p>
    <w:p>
      <w:pPr>
        <w:pStyle w:val="Normal"/>
        <w:rPr>
          <w:b/>
          <w:bCs/>
          <w:sz w:val="20"/>
          <w:szCs w:val="20"/>
        </w:rPr>
      </w:pPr>
      <w:r>
        <w:rPr>
          <w:b/>
          <w:bCs/>
          <w:sz w:val="20"/>
          <w:szCs w:val="20"/>
        </w:rPr>
        <w:t>Transcontinental Gas Pipe Line Corporation</w:t>
      </w:r>
    </w:p>
    <w:p>
      <w:pPr>
        <w:pStyle w:val="NormalIndent"/>
        <w:rPr>
          <w:sz w:val="20"/>
          <w:szCs w:val="20"/>
        </w:rPr>
      </w:pPr>
      <w:r>
        <w:rPr>
          <w:sz w:val="20"/>
          <w:szCs w:val="20"/>
        </w:rPr>
        <w:t>5/24/00 -  Transco accepted the certificate authorizations granted by FERC for MarketLink, and confirmed that there are no market out provisions in the MarketLink precedent agreements.</w:t>
      </w:r>
    </w:p>
    <w:p>
      <w:pPr>
        <w:pStyle w:val="NormalIndent"/>
        <w:rPr/>
      </w:pPr>
      <w:r>
        <w:rPr/>
      </w:r>
    </w:p>
    <w:p>
      <w:pPr>
        <w:pStyle w:val="Normal"/>
        <w:rPr>
          <w:b/>
          <w:bCs/>
          <w:sz w:val="20"/>
          <w:szCs w:val="20"/>
        </w:rPr>
      </w:pPr>
      <w:r>
        <w:rPr>
          <w:b/>
          <w:bCs/>
          <w:sz w:val="20"/>
          <w:szCs w:val="20"/>
        </w:rPr>
        <w:t>Trunkline Gas Company</w:t>
      </w:r>
    </w:p>
    <w:p>
      <w:pPr>
        <w:pStyle w:val="NormalIndent"/>
        <w:rPr>
          <w:sz w:val="20"/>
          <w:szCs w:val="20"/>
        </w:rPr>
      </w:pPr>
      <w:r>
        <w:rPr>
          <w:sz w:val="20"/>
          <w:szCs w:val="20"/>
        </w:rPr>
        <w:t>5/11/00 - Trunkline made its compliance filing to propose bi-directional  TABS-1 transfers within a gas day, and allow rankings at TABS points.</w:t>
      </w:r>
    </w:p>
    <w:p>
      <w:pPr>
        <w:pStyle w:val="NormalIndent"/>
        <w:rPr>
          <w:sz w:val="20"/>
          <w:szCs w:val="20"/>
        </w:rPr>
      </w:pPr>
      <w:r>
        <w:rPr>
          <w:sz w:val="20"/>
          <w:szCs w:val="20"/>
        </w:rPr>
      </w:r>
    </w:p>
    <w:p>
      <w:pPr>
        <w:pStyle w:val="Normal"/>
        <w:rPr>
          <w:b/>
          <w:bCs/>
          <w:sz w:val="20"/>
          <w:szCs w:val="20"/>
        </w:rPr>
      </w:pPr>
      <w:r>
        <w:rPr>
          <w:b/>
          <w:bCs/>
          <w:sz w:val="20"/>
          <w:szCs w:val="20"/>
        </w:rPr>
        <w:t>Trunkline LNG Company</w:t>
      </w:r>
    </w:p>
    <w:p>
      <w:pPr>
        <w:pStyle w:val="NormalIndent"/>
        <w:rPr>
          <w:sz w:val="20"/>
          <w:szCs w:val="20"/>
        </w:rPr>
      </w:pPr>
      <w:r>
        <w:rPr>
          <w:sz w:val="20"/>
          <w:szCs w:val="20"/>
        </w:rPr>
        <w:t>5/18/00 - TLine filed tariff sheets implementing LNG Lending Service, which is patterned on PALS services.</w:t>
      </w:r>
    </w:p>
    <w:p>
      <w:pPr>
        <w:pStyle w:val="NormalIndent"/>
        <w:rPr/>
      </w:pPr>
      <w:r>
        <w:rPr/>
      </w:r>
    </w:p>
    <w:p>
      <w:pPr>
        <w:pStyle w:val="Normal"/>
        <w:rPr>
          <w:b/>
          <w:bCs/>
          <w:sz w:val="20"/>
          <w:szCs w:val="20"/>
        </w:rPr>
      </w:pPr>
      <w:r>
        <w:rPr>
          <w:b/>
          <w:bCs/>
          <w:sz w:val="20"/>
          <w:szCs w:val="20"/>
        </w:rPr>
        <w:t>Viking Gas Transmission</w:t>
      </w:r>
    </w:p>
    <w:p>
      <w:pPr>
        <w:pStyle w:val="NormalIndent"/>
        <w:rPr>
          <w:sz w:val="20"/>
          <w:szCs w:val="20"/>
        </w:rPr>
      </w:pPr>
      <w:r>
        <w:rPr>
          <w:sz w:val="20"/>
          <w:szCs w:val="20"/>
        </w:rPr>
        <w:t>5/30/00 - Viking made its filing to put into effect the Stage 2 Settlement Rates per its 1999 settlement, to be effective 7/1/00.</w:t>
      </w:r>
      <w:r>
        <w:br w:type="page"/>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 xml:space="preserve">4/25/00 - WIC filed its latest settlement offer, which would provide for reduced rates and refunds.  Proposed rates: </w:t>
      </w:r>
    </w:p>
    <w:p>
      <w:pPr>
        <w:pStyle w:val="NormalIndent"/>
        <w:rPr/>
      </w:pPr>
      <w:r>
        <w:rPr>
          <w:sz w:val="20"/>
          <w:szCs w:val="20"/>
        </w:rPr>
        <w:tab/>
        <w:tab/>
        <w:tab/>
      </w:r>
      <w:r>
        <w:rPr>
          <w:b/>
          <w:bCs/>
          <w:sz w:val="20"/>
          <w:szCs w:val="20"/>
        </w:rPr>
        <w:t>Existing</w:t>
        <w:tab/>
        <w:t>Med Bow</w:t>
        <w:tab/>
        <w:t>Med Bow</w:t>
        <w:tab/>
        <w:t>Powder</w:t>
      </w:r>
    </w:p>
    <w:p>
      <w:pPr>
        <w:pStyle w:val="NormalIndent"/>
        <w:rPr>
          <w:b/>
          <w:bCs/>
          <w:sz w:val="20"/>
          <w:szCs w:val="20"/>
        </w:rPr>
      </w:pPr>
      <w:r>
        <w:rPr>
          <w:b/>
          <w:bCs/>
          <w:sz w:val="20"/>
          <w:szCs w:val="20"/>
        </w:rPr>
        <w:tab/>
        <w:tab/>
        <w:tab/>
        <w:t>System</w:t>
        <w:tab/>
        <w:tab/>
        <w:t>Year 1</w:t>
        <w:tab/>
        <w:tab/>
        <w:t>Year 2</w:t>
        <w:tab/>
        <w:tab/>
        <w:t xml:space="preserve">  River</w:t>
      </w:r>
    </w:p>
    <w:p>
      <w:pPr>
        <w:pStyle w:val="NormalIndent"/>
        <w:rPr/>
      </w:pPr>
      <w:r>
        <w:rPr>
          <w:b/>
          <w:bCs/>
          <w:sz w:val="20"/>
          <w:szCs w:val="20"/>
        </w:rPr>
        <w:t>FT Reservation</w:t>
      </w:r>
      <w:r>
        <w:rPr>
          <w:sz w:val="20"/>
          <w:szCs w:val="20"/>
        </w:rPr>
        <w:tab/>
        <w:t>$2.9414</w:t>
        <w:tab/>
        <w:t>$5.0747</w:t>
        <w:tab/>
        <w:t>$4.3628</w:t>
        <w:tab/>
        <w:t>$1.2146</w:t>
      </w:r>
    </w:p>
    <w:p>
      <w:pPr>
        <w:pStyle w:val="NormalIndent"/>
        <w:rPr/>
      </w:pPr>
      <w:r>
        <w:rPr>
          <w:b/>
          <w:bCs/>
          <w:sz w:val="20"/>
          <w:szCs w:val="20"/>
        </w:rPr>
        <w:t>FT Commodity</w:t>
        <w:tab/>
      </w:r>
      <w:r>
        <w:rPr>
          <w:sz w:val="20"/>
          <w:szCs w:val="20"/>
        </w:rPr>
        <w:tab/>
        <w:t>$0.0000</w:t>
        <w:tab/>
        <w:t>$0.0000</w:t>
        <w:tab/>
        <w:t>$0.0000</w:t>
        <w:tab/>
        <w:t>$0.0000</w:t>
      </w:r>
    </w:p>
    <w:p>
      <w:pPr>
        <w:pStyle w:val="NormalIndent"/>
        <w:rPr/>
      </w:pPr>
      <w:r>
        <w:rPr>
          <w:b/>
          <w:bCs/>
          <w:sz w:val="20"/>
          <w:szCs w:val="20"/>
        </w:rPr>
        <w:t>FT Overrun Rate</w:t>
      </w:r>
      <w:r>
        <w:rPr>
          <w:sz w:val="20"/>
          <w:szCs w:val="20"/>
        </w:rPr>
        <w:tab/>
        <w:t>$0.0993</w:t>
        <w:tab/>
        <w:t>$0.1668</w:t>
        <w:tab/>
        <w:t>$0.1434</w:t>
        <w:tab/>
        <w:t>$0.0373</w:t>
      </w:r>
    </w:p>
    <w:p>
      <w:pPr>
        <w:pStyle w:val="NormalIndent"/>
        <w:rPr>
          <w:sz w:val="20"/>
          <w:szCs w:val="20"/>
        </w:rPr>
      </w:pPr>
      <w:r>
        <w:rPr>
          <w:sz w:val="20"/>
          <w:szCs w:val="20"/>
        </w:rPr>
      </w:r>
    </w:p>
    <w:p>
      <w:pPr>
        <w:pStyle w:val="NormalIndent"/>
        <w:rPr/>
      </w:pPr>
      <w:r>
        <w:rPr>
          <w:b/>
          <w:bCs/>
          <w:sz w:val="20"/>
          <w:szCs w:val="20"/>
        </w:rPr>
        <w:t>IT Commodity</w:t>
      </w:r>
      <w:r>
        <w:rPr>
          <w:sz w:val="20"/>
          <w:szCs w:val="20"/>
        </w:rPr>
        <w:tab/>
        <w:tab/>
        <w:t>$0.0993</w:t>
        <w:tab/>
        <w:t>$0.1668</w:t>
        <w:tab/>
        <w:t>$0.1434</w:t>
        <w:tab/>
        <w:t>$0.0373</w:t>
      </w:r>
    </w:p>
    <w:p>
      <w:pPr>
        <w:pStyle w:val="NormalIndent"/>
        <w:rPr/>
      </w:pPr>
      <w:r>
        <w:rPr>
          <w:b/>
          <w:bCs/>
          <w:sz w:val="20"/>
          <w:szCs w:val="20"/>
        </w:rPr>
        <w:t>IT Overrun Rate</w:t>
      </w:r>
      <w:r>
        <w:rPr>
          <w:sz w:val="20"/>
          <w:szCs w:val="20"/>
        </w:rPr>
        <w:tab/>
        <w:t>$0.0993</w:t>
        <w:tab/>
        <w:t>$0.1668</w:t>
        <w:tab/>
        <w:t>$0.1434</w:t>
        <w:tab/>
        <w:t>$0.0373</w:t>
      </w:r>
    </w:p>
    <w:p>
      <w:pPr>
        <w:pStyle w:val="NormalIndent"/>
        <w:rPr>
          <w:sz w:val="20"/>
          <w:szCs w:val="20"/>
        </w:rPr>
      </w:pPr>
      <w:r>
        <w:rPr>
          <w:sz w:val="20"/>
          <w:szCs w:val="20"/>
        </w:rPr>
      </w:r>
    </w:p>
    <w:p>
      <w:pPr>
        <w:pStyle w:val="NormalIndent"/>
        <w:rPr>
          <w:sz w:val="20"/>
          <w:szCs w:val="20"/>
        </w:rPr>
      </w:pPr>
      <w:r>
        <w:rPr>
          <w:sz w:val="20"/>
          <w:szCs w:val="20"/>
        </w:rPr>
        <w:t>5/31/00 - FERC approved WIC’s cash-out revisions, allowing imbalance trading.</w:t>
      </w:r>
    </w:p>
    <w:p>
      <w:pPr>
        <w:pStyle w:val="NormalIndent"/>
        <w:rPr>
          <w:sz w:val="20"/>
          <w:szCs w:val="20"/>
        </w:rPr>
      </w:pPr>
      <w:r>
        <w:rPr>
          <w:sz w:val="20"/>
          <w:szCs w:val="20"/>
        </w:rPr>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2000-06-06T13:33:00Z</dcterms:created>
  <dc:creator>ECT</dc:creator>
  <dc:description/>
  <dc:language>en-CA</dc:language>
  <cp:lastModifiedBy>ECT</cp:lastModifiedBy>
  <cp:lastPrinted>2000-06-12T12:13:00Z</cp:lastPrinted>
  <dcterms:modified xsi:type="dcterms:W3CDTF">2000-06-12T14:45:00Z</dcterms:modified>
  <cp:revision>8</cp:revision>
  <dc:subject>Regulatory Filing Summary</dc:subject>
  <dc:title>Eron Capital &amp; Trade Resources Memo</dc:title>
</cp:coreProperties>
</file>