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Chris Germany</w:t>
            </w:r>
          </w:p>
          <w:p>
            <w:pPr>
              <w:pStyle w:val="To"/>
              <w:widowControl/>
              <w:ind w:end="-643"/>
              <w:rPr/>
            </w:pPr>
            <w:r>
              <w:rPr/>
              <w:t>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 Scott Goodell, Kate</w:t>
            </w:r>
          </w:p>
          <w:p>
            <w:pPr>
              <w:pStyle w:val="To"/>
              <w:widowControl/>
              <w:ind w:end="-643"/>
              <w:rPr/>
            </w:pPr>
            <w:r>
              <w:rPr/>
              <w:t>Fraser, Keith Holst, Andy Lewis</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June 30,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
        <w:rPr>
          <w:b/>
          <w:bCs/>
          <w:sz w:val="20"/>
          <w:szCs w:val="20"/>
        </w:rPr>
      </w:pPr>
      <w:r>
        <w:rPr>
          <w:b/>
          <w:bCs/>
          <w:sz w:val="20"/>
          <w:szCs w:val="20"/>
        </w:rPr>
      </w:r>
    </w:p>
    <w:p>
      <w:pPr>
        <w:pStyle w:val="Normal"/>
        <w:rPr>
          <w:b/>
          <w:bCs/>
          <w:sz w:val="20"/>
          <w:szCs w:val="20"/>
        </w:rPr>
      </w:pPr>
      <w:r>
        <w:rPr>
          <w:b/>
          <w:bCs/>
          <w:sz w:val="20"/>
          <w:szCs w:val="20"/>
        </w:rPr>
        <w:t>ANR Pipeline Company</w:t>
      </w:r>
    </w:p>
    <w:p>
      <w:pPr>
        <w:pStyle w:val="NormalIndent"/>
        <w:rPr>
          <w:sz w:val="20"/>
          <w:szCs w:val="20"/>
        </w:rPr>
      </w:pPr>
      <w:r>
        <w:rPr>
          <w:sz w:val="20"/>
          <w:szCs w:val="20"/>
        </w:rPr>
        <w:t>6/5/00 - ANR filed revised tariff sheet reflecting the correct location of the Napoleon Interconnect.  They inadvertently listed it in the SE Central Segment instead of the Northern Segment.</w:t>
      </w:r>
    </w:p>
    <w:p>
      <w:pPr>
        <w:pStyle w:val="Normal"/>
        <w:rPr>
          <w:b/>
          <w:bCs/>
          <w:sz w:val="20"/>
          <w:szCs w:val="20"/>
        </w:rPr>
      </w:pPr>
      <w:r>
        <w:rPr>
          <w:b/>
          <w:bCs/>
          <w:sz w:val="20"/>
          <w:szCs w:val="20"/>
        </w:rPr>
      </w:r>
    </w:p>
    <w:p>
      <w:pPr>
        <w:pStyle w:val="Normal"/>
        <w:rPr>
          <w:b/>
          <w:bCs/>
          <w:sz w:val="20"/>
          <w:szCs w:val="20"/>
        </w:rPr>
      </w:pPr>
      <w:r>
        <w:rPr>
          <w:b/>
          <w:bCs/>
          <w:sz w:val="20"/>
          <w:szCs w:val="20"/>
        </w:rPr>
        <w:t>Dominion Transmission, Inc. (CNG)</w:t>
      </w:r>
    </w:p>
    <w:p>
      <w:pPr>
        <w:pStyle w:val="NormalIndent"/>
        <w:rPr>
          <w:sz w:val="20"/>
          <w:szCs w:val="20"/>
        </w:rPr>
      </w:pPr>
      <w:r>
        <w:rPr>
          <w:sz w:val="20"/>
          <w:szCs w:val="20"/>
        </w:rPr>
        <w:t xml:space="preserve">6/16/00 - FERC rejected Dominion’s 9/99 proposal and required unrecovered fuel costs in TCRA adjustment for unrecovered storage losses to be allocated 74.5% to transportation and 25.5% to storage (Dominion had allocated 100% to storage).  </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6/9/00 - EPNG filed a Fuel Adjustment Report reflecting a retroactive reduction effective 2/1/00 through 4/30/00.  This may be modified since it is an issue in the current settlement discussions.  This fuel adjustment was necessary due to the reclassification from transmission to gathering of certain facilities.</w:t>
      </w:r>
    </w:p>
    <w:p>
      <w:pPr>
        <w:pStyle w:val="NormalIndent"/>
        <w:rPr>
          <w:sz w:val="20"/>
          <w:szCs w:val="20"/>
        </w:rPr>
      </w:pPr>
      <w:r>
        <w:rPr>
          <w:sz w:val="20"/>
          <w:szCs w:val="20"/>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6/13/00 - Kern filed its settlement offer, which provides for lower rates for current shippers that agree to extend the terms of their contracts.  A 10 year extension results in approximately a 27% rate reduction (from $.64 to $.47) and a 15 year option results in approximately a 34% rate reduction ($.42).  Kern proposes the lower rates be effective 10/1/01.  Shippers who do not agree to extended rates will not be harmed and may in fact receive lower rates due to the refinancing Kern is proposing.</w:t>
      </w:r>
    </w:p>
    <w:p>
      <w:pPr>
        <w:pStyle w:val="NormalIndent"/>
        <w:rPr>
          <w:sz w:val="20"/>
          <w:szCs w:val="20"/>
        </w:rPr>
      </w:pPr>
      <w:r>
        <w:rPr>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6/14/00 - MRT adjusted its fuel rates per FERC order, requesting an effective date of 7/1/00 since June business had already been scheduled.</w:t>
      </w:r>
    </w:p>
    <w:p>
      <w:pPr>
        <w:pStyle w:val="NormalIndent"/>
        <w:rPr>
          <w:sz w:val="20"/>
          <w:szCs w:val="20"/>
        </w:rPr>
      </w:pPr>
      <w:r>
        <w:rPr>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6/15/00 - NBPL requested an extension of the deadline through 11/01 for completing Project 2000.</w:t>
      </w:r>
    </w:p>
    <w:p>
      <w:pPr>
        <w:pStyle w:val="NormalIndent"/>
        <w:rPr>
          <w:sz w:val="20"/>
          <w:szCs w:val="20"/>
        </w:rPr>
      </w:pPr>
      <w:r>
        <w:rPr>
          <w:sz w:val="20"/>
          <w:szCs w:val="20"/>
        </w:rPr>
      </w:r>
    </w:p>
    <w:p>
      <w:pPr>
        <w:pStyle w:val="Normal"/>
        <w:rPr>
          <w:b/>
          <w:bCs/>
          <w:sz w:val="20"/>
          <w:szCs w:val="20"/>
        </w:rPr>
      </w:pPr>
      <w:r>
        <w:rPr>
          <w:b/>
          <w:bCs/>
          <w:sz w:val="20"/>
          <w:szCs w:val="20"/>
        </w:rPr>
        <w:t>Panhandle Eastern Pipe Line Company</w:t>
      </w:r>
    </w:p>
    <w:p>
      <w:pPr>
        <w:pStyle w:val="NormalIndent"/>
        <w:rPr>
          <w:sz w:val="20"/>
          <w:szCs w:val="20"/>
        </w:rPr>
      </w:pPr>
      <w:r>
        <w:rPr>
          <w:sz w:val="20"/>
          <w:szCs w:val="20"/>
        </w:rPr>
        <w:t>6/6/00 - PEPL was ordered to revise its HFT filing to only impose hourly overrun penalties when system integrity is threatened.  To satisfy the order, PEPL elected to revise its HFT filing to impose hourly overrun penalties only if the excess quantities were not scheduled, the same condition that applies to its daily overrun penalties.</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6/21/00 - PG&amp;E filed corrected fuel charges to be effective 7/1/00 (reduces it from .0015%/Dth per pipeline mile to $.0006%/Dth per pipeline mile).</w:t>
      </w:r>
    </w:p>
    <w:p>
      <w:pPr>
        <w:pStyle w:val="NormalIndent"/>
        <w:rPr>
          <w:sz w:val="20"/>
          <w:szCs w:val="20"/>
        </w:rPr>
      </w:pPr>
      <w:r>
        <w:rPr>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Questar filed notice of a negotiated rate deal with Barrett Resources effective 6/00 only.  The volume is 15,500/d, reservation charge is $1.20; usage charge is $.015 for the first 232,500 Dth, with volumes above that level at the T-1 usage tariff rate.</w:t>
      </w:r>
    </w:p>
    <w:p>
      <w:pPr>
        <w:pStyle w:val="NormalIndent"/>
        <w:rPr>
          <w:sz w:val="20"/>
          <w:szCs w:val="20"/>
        </w:rPr>
      </w:pPr>
      <w:r>
        <w:rPr>
          <w:sz w:val="20"/>
          <w:szCs w:val="20"/>
        </w:rPr>
      </w:r>
    </w:p>
    <w:p>
      <w:pPr>
        <w:pStyle w:val="Normal"/>
        <w:rPr>
          <w:b/>
          <w:bCs/>
          <w:sz w:val="20"/>
          <w:szCs w:val="20"/>
        </w:rPr>
      </w:pPr>
      <w:r>
        <w:rPr>
          <w:b/>
          <w:bCs/>
          <w:sz w:val="20"/>
          <w:szCs w:val="20"/>
        </w:rPr>
        <w:t>Reliant Gas Transmission Company</w:t>
      </w:r>
    </w:p>
    <w:p>
      <w:pPr>
        <w:pStyle w:val="NormalIndent"/>
        <w:rPr>
          <w:sz w:val="20"/>
          <w:szCs w:val="20"/>
        </w:rPr>
      </w:pPr>
      <w:r>
        <w:rPr>
          <w:sz w:val="20"/>
          <w:szCs w:val="20"/>
        </w:rPr>
        <w:t>6/8/00 - Reliant filed notice of a new negotiated rate deal with SW Electric Power Co. effective 6/9/00.  The reservation charge is $1.71 and the commodity rate varies by receipt zone between $.0488 and $.1238.  The rates increase substantially on volumes over 75,000/d and are for deliveries to various SWEPCO plants.</w:t>
      </w:r>
    </w:p>
    <w:p>
      <w:pPr>
        <w:pStyle w:val="NormalIndent"/>
        <w:rPr>
          <w:sz w:val="20"/>
          <w:szCs w:val="20"/>
        </w:rPr>
      </w:pPr>
      <w:r>
        <w:rPr>
          <w:sz w:val="20"/>
          <w:szCs w:val="20"/>
        </w:rPr>
      </w:r>
    </w:p>
    <w:p>
      <w:pPr>
        <w:pStyle w:val="Normal"/>
        <w:rPr>
          <w:b/>
          <w:bCs/>
          <w:sz w:val="20"/>
          <w:szCs w:val="20"/>
        </w:rPr>
      </w:pPr>
      <w:r>
        <w:rPr>
          <w:b/>
          <w:bCs/>
          <w:sz w:val="20"/>
          <w:szCs w:val="20"/>
        </w:rPr>
        <w:t>Southern Natural Gas Company</w:t>
      </w:r>
    </w:p>
    <w:p>
      <w:pPr>
        <w:pStyle w:val="NormalIndent"/>
        <w:rPr>
          <w:sz w:val="20"/>
          <w:szCs w:val="20"/>
        </w:rPr>
      </w:pPr>
      <w:r>
        <w:rPr>
          <w:sz w:val="20"/>
          <w:szCs w:val="20"/>
        </w:rPr>
        <w:t>6/15/00 - Southern filed to allow the expansion of delivery point operator rights to consolidate multiple stations into one delivery point.  This was done primarily for AGL, but is available to all point operators who meet the criteria.</w:t>
      </w:r>
    </w:p>
    <w:p>
      <w:pPr>
        <w:pStyle w:val="NormalIndent"/>
        <w:rPr>
          <w:sz w:val="20"/>
          <w:szCs w:val="20"/>
        </w:rPr>
      </w:pPr>
      <w:r>
        <w:rPr>
          <w:sz w:val="20"/>
          <w:szCs w:val="20"/>
        </w:rPr>
      </w:r>
    </w:p>
    <w:p>
      <w:pPr>
        <w:pStyle w:val="Normal"/>
        <w:rPr>
          <w:b/>
          <w:bCs/>
          <w:sz w:val="20"/>
          <w:szCs w:val="20"/>
        </w:rPr>
      </w:pPr>
      <w:r>
        <w:rPr>
          <w:b/>
          <w:bCs/>
          <w:sz w:val="20"/>
          <w:szCs w:val="20"/>
        </w:rPr>
        <w:t>Stanfield Hub Services, LLC</w:t>
      </w:r>
    </w:p>
    <w:p>
      <w:pPr>
        <w:pStyle w:val="NormalIndent"/>
        <w:rPr>
          <w:sz w:val="20"/>
          <w:szCs w:val="20"/>
        </w:rPr>
      </w:pPr>
      <w:r>
        <w:rPr>
          <w:sz w:val="20"/>
          <w:szCs w:val="20"/>
        </w:rPr>
        <w:t>6/23/00 - Stanfield requested authorization to drill up to eight test wells in Benton County, Washington to investigate the feasibility of developing an underground natural gas storage project.  Stanfield is owned by PG&amp;E NW and Avista Development.</w:t>
      </w:r>
    </w:p>
    <w:p>
      <w:pPr>
        <w:pStyle w:val="NormalIndent"/>
        <w:rPr>
          <w:sz w:val="20"/>
          <w:szCs w:val="20"/>
        </w:rPr>
      </w:pPr>
      <w:r>
        <w:rPr>
          <w:sz w:val="20"/>
          <w:szCs w:val="20"/>
        </w:rPr>
      </w:r>
    </w:p>
    <w:p>
      <w:pPr>
        <w:pStyle w:val="Normal"/>
        <w:rPr>
          <w:b/>
          <w:bCs/>
          <w:sz w:val="20"/>
          <w:szCs w:val="20"/>
        </w:rPr>
      </w:pPr>
      <w:r>
        <w:rPr>
          <w:b/>
          <w:bCs/>
          <w:sz w:val="20"/>
          <w:szCs w:val="20"/>
        </w:rPr>
        <w:t>Texas Gas Transmission Corporation</w:t>
      </w:r>
    </w:p>
    <w:p>
      <w:pPr>
        <w:pStyle w:val="NormalIndent"/>
        <w:rPr>
          <w:sz w:val="20"/>
          <w:szCs w:val="20"/>
        </w:rPr>
      </w:pPr>
      <w:r>
        <w:rPr>
          <w:sz w:val="20"/>
          <w:szCs w:val="20"/>
        </w:rPr>
        <w:t>6/12/00 - TGT filed its final version of SNS service to be effective 6/14/00 reflecting two changes.  The rates will be two part SFV rates, and SNS capacity may be released.</w:t>
      </w:r>
    </w:p>
    <w:p>
      <w:pPr>
        <w:pStyle w:val="NormalIndent"/>
        <w:rPr>
          <w:sz w:val="20"/>
          <w:szCs w:val="20"/>
        </w:rPr>
      </w:pPr>
      <w:r>
        <w:rPr>
          <w:sz w:val="20"/>
          <w:szCs w:val="20"/>
        </w:rPr>
      </w:r>
    </w:p>
    <w:p>
      <w:pPr>
        <w:pStyle w:val="Normal"/>
        <w:rPr>
          <w:b/>
          <w:bCs/>
          <w:sz w:val="20"/>
          <w:szCs w:val="20"/>
        </w:rPr>
      </w:pPr>
      <w:r>
        <w:rPr>
          <w:b/>
          <w:bCs/>
          <w:sz w:val="20"/>
          <w:szCs w:val="20"/>
        </w:rPr>
        <w:t>Trailblazer Pipeline Company</w:t>
      </w:r>
    </w:p>
    <w:p>
      <w:pPr>
        <w:pStyle w:val="NormalIndent"/>
        <w:rPr>
          <w:sz w:val="20"/>
          <w:szCs w:val="20"/>
        </w:rPr>
      </w:pPr>
      <w:r>
        <w:rPr>
          <w:sz w:val="20"/>
          <w:szCs w:val="20"/>
        </w:rPr>
        <w:t xml:space="preserve">6/9/00 - TB’s settlement rates will go into effect 4/1/00 for all parties since Amoco (the only remaining opposing party) withdrew its request for rehearing.  </w:t>
      </w:r>
    </w:p>
    <w:p>
      <w:pPr>
        <w:pStyle w:val="NormalIndent"/>
        <w:rPr>
          <w:sz w:val="20"/>
          <w:szCs w:val="20"/>
        </w:rPr>
      </w:pPr>
      <w:r>
        <w:rPr>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6/12/00 - FERC granted Transco permission to abandon sales services effective 3/31/01 on 19 FS sales service agreements.</w:t>
      </w:r>
    </w:p>
    <w:p>
      <w:pPr>
        <w:pStyle w:val="NormalIndent"/>
        <w:rPr>
          <w:sz w:val="20"/>
          <w:szCs w:val="20"/>
        </w:rPr>
      </w:pPr>
      <w:r>
        <w:rPr>
          <w:sz w:val="20"/>
          <w:szCs w:val="20"/>
        </w:rPr>
      </w:r>
    </w:p>
    <w:p>
      <w:pPr>
        <w:pStyle w:val="NormalIndent"/>
        <w:rPr>
          <w:sz w:val="20"/>
          <w:szCs w:val="20"/>
        </w:rPr>
      </w:pPr>
      <w:r>
        <w:rPr>
          <w:sz w:val="20"/>
          <w:szCs w:val="20"/>
        </w:rPr>
        <w:t>6/12/00 - FERC denied Transco’s motion for stay in the issue of construction of an ANR interconnect at Evangeline.  We expect Transco to file an appeal in the DC Circuit Court.</w:t>
      </w:r>
    </w:p>
    <w:p>
      <w:pPr>
        <w:pStyle w:val="NormalIndent"/>
        <w:rPr>
          <w:sz w:val="20"/>
          <w:szCs w:val="20"/>
        </w:rPr>
      </w:pPr>
      <w:r>
        <w:rPr>
          <w:sz w:val="20"/>
          <w:szCs w:val="20"/>
        </w:rPr>
      </w:r>
    </w:p>
    <w:p>
      <w:pPr>
        <w:pStyle w:val="Normal"/>
        <w:rPr>
          <w:b/>
          <w:bCs/>
          <w:sz w:val="20"/>
          <w:szCs w:val="20"/>
        </w:rPr>
      </w:pPr>
      <w:r>
        <w:rPr>
          <w:b/>
          <w:bCs/>
          <w:sz w:val="20"/>
          <w:szCs w:val="20"/>
        </w:rPr>
        <w:t>Transok, LLC</w:t>
      </w:r>
    </w:p>
    <w:p>
      <w:pPr>
        <w:pStyle w:val="NormalIndent"/>
        <w:rPr>
          <w:sz w:val="20"/>
          <w:szCs w:val="20"/>
        </w:rPr>
      </w:pPr>
      <w:r>
        <w:rPr>
          <w:sz w:val="20"/>
          <w:szCs w:val="20"/>
        </w:rPr>
        <w:t>6/8/00 - Transok filed a petition to increase the amount of storage services it may provide under market based rates at Greasy Creek.  Currently they provide up to 4 Bcf of storage services at market based rates.  They seek to increase the amount allowed under market based rates to the full capacity of 18 Bcf.</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 xml:space="preserve">6/23/00 - WIC filed a blanket certificate request for a new delivery point to Coastal Chem, Inc.  This would bypass Cheyenne Light, Fuel &amp; Power Company.  The maximum capacity would be 90,000 Mcf/d, with an expected load of 30,000 Mcf/d.  </w:t>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2000-06-27T13:48:00Z</dcterms:created>
  <dc:creator>ECT</dc:creator>
  <dc:description/>
  <dc:language>en-CA</dc:language>
  <cp:lastModifiedBy>ECT</cp:lastModifiedBy>
  <cp:lastPrinted>2000-06-29T12:13:00Z</cp:lastPrinted>
  <dcterms:modified xsi:type="dcterms:W3CDTF">2000-07-05T14:44:00Z</dcterms:modified>
  <cp:revision>13</cp:revision>
  <dc:subject>Regulatory Filing Summary</dc:subject>
  <dc:title>Eron Capital &amp; Trade Resources Memo</dc:title>
</cp:coreProperties>
</file>