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Theresa Branney, Sandra Brawner, Maria Garza, Chris</w:t>
            </w:r>
          </w:p>
          <w:p>
            <w:pPr>
              <w:pStyle w:val="To"/>
              <w:widowControl/>
              <w:ind w:end="-643"/>
              <w:rPr/>
            </w:pPr>
            <w:r>
              <w:rPr/>
              <w:t>Germany, 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 Scott Goodell, Kate</w:t>
            </w:r>
          </w:p>
          <w:p>
            <w:pPr>
              <w:pStyle w:val="To"/>
              <w:widowControl/>
              <w:ind w:end="-643"/>
              <w:rPr/>
            </w:pPr>
            <w:r>
              <w:rPr/>
              <w:t>Fraser, Keith Holst</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May 19,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BodyTextIndent2"/>
        <w:widowControl/>
        <w:ind w:start="0" w:end="0"/>
        <w:rPr>
          <w:sz w:val="12"/>
          <w:szCs w:val="12"/>
        </w:rPr>
      </w:pPr>
      <w:r>
        <w:rPr>
          <w:sz w:val="12"/>
          <w:szCs w:val="12"/>
        </w:rPr>
      </w:r>
    </w:p>
    <w:p>
      <w:pPr>
        <w:pStyle w:val="BodyTextIndent2"/>
        <w:widowControl/>
        <w:ind w:start="0" w:end="0"/>
        <w:rPr>
          <w:sz w:val="12"/>
          <w:szCs w:val="12"/>
        </w:rPr>
      </w:pPr>
      <w:r>
        <w:rPr>
          <w:sz w:val="12"/>
          <w:szCs w:val="12"/>
        </w:rPr>
      </w:r>
    </w:p>
    <w:p>
      <w:pPr>
        <w:pStyle w:val="Normal"/>
        <w:rPr>
          <w:b/>
          <w:bCs/>
          <w:sz w:val="20"/>
          <w:szCs w:val="20"/>
        </w:rPr>
      </w:pPr>
      <w:r>
        <w:rPr>
          <w:b/>
          <w:bCs/>
          <w:sz w:val="20"/>
          <w:szCs w:val="20"/>
        </w:rPr>
        <w:t>CNG Transmission Corporation</w:t>
      </w:r>
    </w:p>
    <w:p>
      <w:pPr>
        <w:pStyle w:val="NormalIndent"/>
        <w:rPr>
          <w:sz w:val="20"/>
          <w:szCs w:val="20"/>
        </w:rPr>
      </w:pPr>
      <w:r>
        <w:rPr>
          <w:sz w:val="20"/>
          <w:szCs w:val="20"/>
        </w:rPr>
        <w:t>4/26/00 - CNG’s revised Stranded Account 858 costs surcharge is approved and accepted, effective 5/1/00.  FERC also waived the requirement for CNG to make quarterly filings on this surcharge.  The next filing will be made on 3/1/01.</w:t>
      </w:r>
    </w:p>
    <w:p>
      <w:pPr>
        <w:pStyle w:val="NormalIndent"/>
        <w:rPr>
          <w:sz w:val="20"/>
          <w:szCs w:val="20"/>
        </w:rPr>
      </w:pPr>
      <w:r>
        <w:rPr>
          <w:sz w:val="20"/>
          <w:szCs w:val="20"/>
        </w:rPr>
      </w:r>
    </w:p>
    <w:p>
      <w:pPr>
        <w:pStyle w:val="NormalIndent"/>
        <w:rPr>
          <w:sz w:val="20"/>
          <w:szCs w:val="20"/>
        </w:rPr>
      </w:pPr>
      <w:r>
        <w:rPr>
          <w:sz w:val="20"/>
          <w:szCs w:val="20"/>
        </w:rPr>
        <w:t>4/27/00 - FERC issued an order regarding the complaint by NAEC on ROFR issues, indicating that CNG violated both its tariff and the NGA, and refers the matter to the Enforcement Section.  Specifically, FERC questioned CNG’s “arrangement” with Niagara Mohawk—because CNG had a contractual arrangement with NIMO that was never filed with the FERC.</w:t>
      </w:r>
    </w:p>
    <w:p>
      <w:pPr>
        <w:pStyle w:val="NormalIndent"/>
        <w:rPr>
          <w:sz w:val="20"/>
          <w:szCs w:val="20"/>
        </w:rPr>
      </w:pPr>
      <w:r>
        <w:rPr>
          <w:sz w:val="20"/>
          <w:szCs w:val="20"/>
        </w:rPr>
      </w:r>
    </w:p>
    <w:p>
      <w:pPr>
        <w:pStyle w:val="Normal"/>
        <w:rPr>
          <w:b/>
          <w:bCs/>
          <w:sz w:val="20"/>
          <w:szCs w:val="20"/>
        </w:rPr>
      </w:pPr>
      <w:r>
        <w:rPr>
          <w:b/>
          <w:bCs/>
          <w:sz w:val="20"/>
          <w:szCs w:val="20"/>
        </w:rPr>
        <w:t>Columbia Gas Transmission</w:t>
      </w:r>
    </w:p>
    <w:p>
      <w:pPr>
        <w:pStyle w:val="NormalIndent"/>
        <w:rPr>
          <w:sz w:val="20"/>
          <w:szCs w:val="20"/>
        </w:rPr>
      </w:pPr>
      <w:r>
        <w:rPr>
          <w:sz w:val="20"/>
          <w:szCs w:val="20"/>
        </w:rPr>
        <w:t>4/26/00 - FERC issued an order on changes to ROFR provisions proposed by Columbia.  Columbia must make some changes, but the proposal is approved effective 5/1/00, subject to Order 637 changes.</w:t>
      </w:r>
    </w:p>
    <w:p>
      <w:pPr>
        <w:pStyle w:val="NormalIndent"/>
        <w:rPr>
          <w:sz w:val="20"/>
          <w:szCs w:val="20"/>
        </w:rPr>
      </w:pPr>
      <w:r>
        <w:rPr>
          <w:sz w:val="20"/>
          <w:szCs w:val="20"/>
        </w:rPr>
      </w:r>
    </w:p>
    <w:p>
      <w:pPr>
        <w:pStyle w:val="Normal"/>
        <w:rPr>
          <w:b/>
          <w:bCs/>
          <w:sz w:val="20"/>
          <w:szCs w:val="20"/>
        </w:rPr>
      </w:pPr>
      <w:r>
        <w:rPr>
          <w:b/>
          <w:bCs/>
          <w:sz w:val="20"/>
          <w:szCs w:val="20"/>
        </w:rPr>
        <w:t>Columbia Gulf Transmission</w:t>
      </w:r>
    </w:p>
    <w:p>
      <w:pPr>
        <w:pStyle w:val="NormalIndent"/>
        <w:rPr>
          <w:sz w:val="20"/>
          <w:szCs w:val="20"/>
        </w:rPr>
      </w:pPr>
      <w:r>
        <w:rPr>
          <w:sz w:val="20"/>
          <w:szCs w:val="20"/>
        </w:rPr>
        <w:t>4/26/00 - FERC issued an order on changes to ROFR provisions proposed by Columbia.  Columbia must make some changes, but the proposal is approved effective 5/1/00, subject to Order 637 changes.</w:t>
      </w:r>
    </w:p>
    <w:p>
      <w:pPr>
        <w:pStyle w:val="NormalIndent"/>
        <w:rPr>
          <w:sz w:val="20"/>
          <w:szCs w:val="20"/>
        </w:rPr>
      </w:pPr>
      <w:r>
        <w:rPr>
          <w:sz w:val="20"/>
          <w:szCs w:val="20"/>
        </w:rPr>
      </w:r>
    </w:p>
    <w:p>
      <w:pPr>
        <w:pStyle w:val="Normal"/>
        <w:rPr>
          <w:b/>
          <w:bCs/>
          <w:sz w:val="20"/>
          <w:szCs w:val="20"/>
        </w:rPr>
      </w:pPr>
      <w:r>
        <w:rPr>
          <w:b/>
          <w:bCs/>
          <w:sz w:val="20"/>
          <w:szCs w:val="20"/>
        </w:rPr>
        <w:t>Florida Gas Transmission Company -</w:t>
      </w:r>
    </w:p>
    <w:p>
      <w:pPr>
        <w:pStyle w:val="NormalIndent"/>
        <w:rPr>
          <w:sz w:val="20"/>
          <w:szCs w:val="20"/>
        </w:rPr>
      </w:pPr>
      <w:r>
        <w:rPr>
          <w:sz w:val="20"/>
          <w:szCs w:val="20"/>
        </w:rPr>
        <w:t>5/18/j00 - FERC ordered FGT’s 3% fuel rate to be adjusted back down to 2.99% effective 6/1/00.  (The 3.0% rate was effective for May only.</w:t>
      </w:r>
    </w:p>
    <w:p>
      <w:pPr>
        <w:pStyle w:val="NormalIndent"/>
        <w:rPr>
          <w:sz w:val="20"/>
          <w:szCs w:val="20"/>
        </w:rPr>
      </w:pPr>
      <w:r>
        <w:rPr>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4/25/00 - NNG’s filing on LFT service is approved by FERC, subject to conditions. NNG must address the 13 protesters’ concerns about the service and file additional information which it failed to provide in its initial filing.  Although NNG asked for an effective date of 4/27/00, the effective date will not be until 9/27/00 unless FERC rules on it earlier.</w:t>
      </w:r>
    </w:p>
    <w:p>
      <w:pPr>
        <w:pStyle w:val="Normal"/>
        <w:rPr>
          <w:sz w:val="20"/>
          <w:szCs w:val="20"/>
        </w:rPr>
      </w:pPr>
      <w:r>
        <w:rPr>
          <w:sz w:val="20"/>
          <w:szCs w:val="20"/>
        </w:rPr>
      </w:r>
    </w:p>
    <w:p>
      <w:pPr>
        <w:pStyle w:val="Normal"/>
        <w:rPr>
          <w:b/>
          <w:bCs/>
          <w:sz w:val="20"/>
          <w:szCs w:val="20"/>
        </w:rPr>
      </w:pPr>
      <w:r>
        <w:rPr>
          <w:b/>
          <w:bCs/>
          <w:sz w:val="20"/>
          <w:szCs w:val="20"/>
        </w:rPr>
        <w:t>Panhandle Eastern Pipe Line Company</w:t>
      </w:r>
    </w:p>
    <w:p>
      <w:pPr>
        <w:pStyle w:val="NormalIndent"/>
        <w:rPr>
          <w:sz w:val="20"/>
          <w:szCs w:val="20"/>
        </w:rPr>
      </w:pPr>
      <w:r>
        <w:rPr>
          <w:sz w:val="20"/>
          <w:szCs w:val="20"/>
        </w:rPr>
        <w:t>4/26/00 - FERC approved PEPL’s reservation rate reduction, reflecting the flow through of cash out revenues, effective 5/1/00.</w:t>
      </w:r>
    </w:p>
    <w:p>
      <w:pPr>
        <w:pStyle w:val="NormalIndent"/>
        <w:rPr>
          <w:sz w:val="20"/>
          <w:szCs w:val="20"/>
        </w:rPr>
      </w:pPr>
      <w:r>
        <w:rPr>
          <w:sz w:val="20"/>
          <w:szCs w:val="20"/>
        </w:rPr>
      </w:r>
    </w:p>
    <w:p>
      <w:pPr>
        <w:pStyle w:val="Normal"/>
        <w:rPr>
          <w:b/>
          <w:bCs/>
          <w:sz w:val="20"/>
          <w:szCs w:val="20"/>
        </w:rPr>
      </w:pPr>
      <w:r>
        <w:rPr>
          <w:b/>
          <w:bCs/>
          <w:sz w:val="20"/>
          <w:szCs w:val="20"/>
        </w:rPr>
        <w:t>Reliant Gas Transmission Company</w:t>
      </w:r>
    </w:p>
    <w:p>
      <w:pPr>
        <w:pStyle w:val="NormalIndent"/>
        <w:rPr>
          <w:sz w:val="20"/>
          <w:szCs w:val="20"/>
        </w:rPr>
      </w:pPr>
      <w:r>
        <w:rPr>
          <w:sz w:val="20"/>
          <w:szCs w:val="20"/>
        </w:rPr>
        <w:t>4/26/00 - FERC approved Reliant’s adjusted fuel percentages, and EPC tracker rate, effective 5/1/00.</w:t>
      </w:r>
      <w:r>
        <w:br w:type="page"/>
      </w:r>
    </w:p>
    <w:p>
      <w:pPr>
        <w:pStyle w:val="NormalIndent"/>
        <w:rPr>
          <w:sz w:val="20"/>
          <w:szCs w:val="20"/>
        </w:rPr>
      </w:pPr>
      <w:r>
        <w:rPr>
          <w:sz w:val="20"/>
          <w:szCs w:val="20"/>
        </w:rPr>
      </w:r>
    </w:p>
    <w:p>
      <w:pPr>
        <w:pStyle w:val="Normal"/>
        <w:rPr>
          <w:b/>
          <w:bCs/>
          <w:sz w:val="20"/>
          <w:szCs w:val="20"/>
        </w:rPr>
      </w:pPr>
      <w:r>
        <w:rPr>
          <w:b/>
          <w:bCs/>
          <w:sz w:val="20"/>
          <w:szCs w:val="20"/>
        </w:rPr>
        <w:t>Tennessee Gas Pipeline Company</w:t>
      </w:r>
    </w:p>
    <w:p>
      <w:pPr>
        <w:pStyle w:val="NormalIndent"/>
        <w:rPr>
          <w:sz w:val="20"/>
          <w:szCs w:val="20"/>
        </w:rPr>
      </w:pPr>
      <w:r>
        <w:rPr>
          <w:sz w:val="20"/>
          <w:szCs w:val="20"/>
        </w:rPr>
        <w:t>5/15/00 - Tennessee filed notice of a negotiated rate deal with NICOR in Zones 0 and 1 to MGT for tiered volumes (total 299,000/d) effective 11/1/00 through 10/31/03.  There is also a Midwestern transport agreement to complete the path.</w:t>
      </w:r>
    </w:p>
    <w:p>
      <w:pPr>
        <w:pStyle w:val="NormalIndent"/>
        <w:rPr>
          <w:sz w:val="20"/>
          <w:szCs w:val="20"/>
        </w:rPr>
      </w:pPr>
      <w:r>
        <w:rPr>
          <w:sz w:val="20"/>
          <w:szCs w:val="20"/>
        </w:rPr>
      </w:r>
    </w:p>
    <w:p>
      <w:pPr>
        <w:pStyle w:val="NormalIndent"/>
        <w:rPr>
          <w:sz w:val="20"/>
          <w:szCs w:val="20"/>
        </w:rPr>
      </w:pPr>
      <w:r>
        <w:rPr>
          <w:sz w:val="20"/>
          <w:szCs w:val="20"/>
        </w:rPr>
        <w:t>5/16/00 - Tennessee filed revised tariff removing the 20 year cap for calculating NPV of bids for available capacity, effective 6/16/00.</w:t>
      </w:r>
    </w:p>
    <w:p>
      <w:pPr>
        <w:pStyle w:val="NormalIndent"/>
        <w:rPr>
          <w:sz w:val="20"/>
          <w:szCs w:val="20"/>
        </w:rPr>
      </w:pPr>
      <w:r>
        <w:rPr>
          <w:sz w:val="20"/>
          <w:szCs w:val="20"/>
        </w:rPr>
      </w:r>
    </w:p>
    <w:p>
      <w:pPr>
        <w:pStyle w:val="Normal"/>
        <w:rPr>
          <w:b/>
          <w:bCs/>
          <w:sz w:val="20"/>
          <w:szCs w:val="20"/>
        </w:rPr>
      </w:pPr>
      <w:r>
        <w:rPr>
          <w:b/>
          <w:bCs/>
          <w:sz w:val="20"/>
          <w:szCs w:val="20"/>
        </w:rPr>
        <w:t>Trunkline Gas Company</w:t>
      </w:r>
    </w:p>
    <w:p>
      <w:pPr>
        <w:pStyle w:val="NormalIndent"/>
        <w:rPr>
          <w:sz w:val="20"/>
          <w:szCs w:val="20"/>
        </w:rPr>
      </w:pPr>
      <w:r>
        <w:rPr>
          <w:sz w:val="20"/>
          <w:szCs w:val="20"/>
        </w:rPr>
        <w:t>4/26/00 - FERC sent a letter to TL indicating that it could not move forward with an environmental analysis on the jurisdictional part of Centennial until TL provided information on the non-jurisdictional  part of Centennial as well.</w:t>
      </w:r>
    </w:p>
    <w:p>
      <w:pPr>
        <w:pStyle w:val="NormalIndent"/>
        <w:rPr>
          <w:sz w:val="20"/>
          <w:szCs w:val="20"/>
        </w:rPr>
      </w:pPr>
      <w:r>
        <w:rPr>
          <w:sz w:val="20"/>
          <w:szCs w:val="20"/>
        </w:rPr>
      </w:r>
    </w:p>
    <w:p>
      <w:pPr>
        <w:pStyle w:val="Normal"/>
        <w:rPr>
          <w:b/>
          <w:bCs/>
          <w:sz w:val="20"/>
          <w:szCs w:val="20"/>
        </w:rPr>
      </w:pPr>
      <w:r>
        <w:rPr>
          <w:b/>
          <w:bCs/>
          <w:sz w:val="20"/>
          <w:szCs w:val="20"/>
        </w:rPr>
        <w:t>Trunkline LNG Company</w:t>
      </w:r>
    </w:p>
    <w:p>
      <w:pPr>
        <w:pStyle w:val="NormalIndent"/>
        <w:rPr>
          <w:sz w:val="20"/>
          <w:szCs w:val="20"/>
        </w:rPr>
      </w:pPr>
      <w:r>
        <w:rPr>
          <w:sz w:val="20"/>
          <w:szCs w:val="20"/>
        </w:rPr>
        <w:t>5/18/00 - Trunkline filed for approval of a new rate schedule (LLS) for LNG Lending Service.  It is patterned on PALS services—short term loans, with repayment within 31 days.</w:t>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2000-05-15T12:56:00Z</dcterms:created>
  <dc:creator>ECT</dc:creator>
  <dc:description/>
  <dc:language>en-CA</dc:language>
  <cp:lastModifiedBy>ECT</cp:lastModifiedBy>
  <cp:lastPrinted>2000-04-28T10:44:00Z</cp:lastPrinted>
  <dcterms:modified xsi:type="dcterms:W3CDTF">2000-05-26T12:12:00Z</dcterms:modified>
  <cp:revision>8</cp:revision>
  <dc:subject>Regulatory Filing Summary</dc:subject>
  <dc:title>Eron Capital &amp; Trade Resources Memo</dc:title>
</cp:coreProperties>
</file>